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A44F54" w:rsidP="00F2555F">
      <w:pPr>
        <w:tabs>
          <w:tab w:val="left" w:pos="2160"/>
        </w:tabs>
        <w:spacing w:line="800" w:lineRule="exact"/>
        <w:jc w:val="center"/>
        <w:rPr>
          <w:b/>
          <w:kern w:val="24"/>
          <w:sz w:val="48"/>
          <w:szCs w:val="48"/>
        </w:rPr>
      </w:pPr>
      <w:r>
        <w:rPr>
          <w:rFonts w:hint="eastAsia"/>
          <w:b/>
          <w:kern w:val="24"/>
          <w:sz w:val="48"/>
          <w:szCs w:val="48"/>
        </w:rPr>
        <w:t>药学管理软件</w:t>
      </w:r>
      <w:r w:rsidR="00F174BC">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CA4207" w:rsidRDefault="00530FAC" w:rsidP="00CA4207">
      <w:pPr>
        <w:widowControl/>
        <w:spacing w:line="600" w:lineRule="exact"/>
        <w:ind w:firstLineChars="750" w:firstLine="3900"/>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医</w:t>
      </w:r>
    </w:p>
    <w:p w:rsidR="00F2555F" w:rsidRPr="00CA4207" w:rsidRDefault="00530FAC"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院</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采</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购</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需</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求</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报</w:t>
      </w:r>
    </w:p>
    <w:p w:rsidR="00F2555F" w:rsidRPr="00CA4207" w:rsidRDefault="00F2555F" w:rsidP="00F2555F">
      <w:pPr>
        <w:widowControl/>
        <w:spacing w:line="600" w:lineRule="exact"/>
        <w:jc w:val="center"/>
        <w:rPr>
          <w:rFonts w:asciiTheme="minorEastAsia" w:hAnsiTheme="minorEastAsia" w:cs="宋体"/>
          <w:color w:val="000000" w:themeColor="text1"/>
          <w:sz w:val="52"/>
          <w:szCs w:val="52"/>
        </w:rPr>
      </w:pPr>
      <w:r w:rsidRPr="00CA4207">
        <w:rPr>
          <w:rFonts w:asciiTheme="minorEastAsia" w:hAnsiTheme="minorEastAsia" w:cs="宋体" w:hint="eastAsia"/>
          <w:color w:val="000000" w:themeColor="text1"/>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C2119">
        <w:rPr>
          <w:rFonts w:ascii="黑体" w:eastAsia="黑体" w:hint="eastAsia"/>
          <w:sz w:val="30"/>
          <w:szCs w:val="30"/>
        </w:rPr>
        <w:t>8</w:t>
      </w:r>
      <w:r w:rsidRPr="00BA5CC0">
        <w:rPr>
          <w:rFonts w:ascii="黑体" w:eastAsia="黑体" w:hint="eastAsia"/>
          <w:sz w:val="30"/>
          <w:szCs w:val="30"/>
        </w:rPr>
        <w:t>年</w:t>
      </w:r>
      <w:r w:rsidR="000058EE">
        <w:rPr>
          <w:rFonts w:ascii="黑体" w:eastAsia="黑体" w:hint="eastAsia"/>
          <w:sz w:val="30"/>
          <w:szCs w:val="30"/>
        </w:rPr>
        <w:t>09</w:t>
      </w:r>
      <w:r w:rsidRPr="00BA5CC0">
        <w:rPr>
          <w:rFonts w:ascii="黑体" w:eastAsia="黑体" w:hint="eastAsia"/>
          <w:sz w:val="30"/>
          <w:szCs w:val="30"/>
        </w:rPr>
        <w:t>月</w:t>
      </w:r>
      <w:r w:rsidR="00254CF1">
        <w:rPr>
          <w:rFonts w:ascii="黑体" w:eastAsia="黑体" w:hint="eastAsia"/>
          <w:sz w:val="30"/>
          <w:szCs w:val="30"/>
        </w:rPr>
        <w:t>30</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0058EE">
      <w:pPr>
        <w:spacing w:line="400" w:lineRule="exact"/>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A44F54">
        <w:rPr>
          <w:rFonts w:ascii="Tahoma" w:hAnsi="Tahoma" w:hint="eastAsia"/>
          <w:sz w:val="24"/>
          <w:szCs w:val="24"/>
          <w:lang w:val="zh-CN"/>
        </w:rPr>
        <w:t>药学管理软件</w:t>
      </w:r>
      <w:r w:rsidR="00F174BC">
        <w:rPr>
          <w:rFonts w:ascii="Tahoma" w:hAnsi="Tahoma" w:hint="eastAsia"/>
          <w:sz w:val="24"/>
          <w:szCs w:val="24"/>
          <w:lang w:val="zh-CN"/>
        </w:rPr>
        <w:t>项目</w:t>
      </w:r>
    </w:p>
    <w:p w:rsidR="00F2555F" w:rsidRPr="001F2898" w:rsidRDefault="00F2555F" w:rsidP="000058EE">
      <w:pPr>
        <w:spacing w:line="400" w:lineRule="exact"/>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0058EE">
      <w:pPr>
        <w:spacing w:line="400" w:lineRule="exact"/>
        <w:rPr>
          <w:rFonts w:ascii="Tahoma" w:hAnsi="Tahoma"/>
          <w:sz w:val="24"/>
          <w:szCs w:val="24"/>
          <w:lang w:val="zh-CN"/>
        </w:rPr>
      </w:pPr>
      <w:r w:rsidRPr="000058EE">
        <w:rPr>
          <w:rFonts w:ascii="Tahoma" w:hAnsi="Tahoma" w:hint="eastAsia"/>
          <w:b/>
          <w:sz w:val="24"/>
          <w:szCs w:val="24"/>
          <w:lang w:val="zh-CN"/>
        </w:rPr>
        <w:t>地</w:t>
      </w:r>
      <w:r w:rsidRPr="000058EE">
        <w:rPr>
          <w:rFonts w:ascii="Tahoma" w:hAnsi="Tahoma" w:hint="eastAsia"/>
          <w:b/>
          <w:sz w:val="24"/>
          <w:szCs w:val="24"/>
          <w:lang w:val="zh-CN"/>
        </w:rPr>
        <w:t xml:space="preserve">    </w:t>
      </w:r>
      <w:r w:rsidRPr="000058EE">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0058EE">
      <w:pPr>
        <w:spacing w:line="400" w:lineRule="exact"/>
        <w:rPr>
          <w:rFonts w:ascii="Tahoma" w:hAnsi="Tahoma"/>
          <w:sz w:val="24"/>
          <w:szCs w:val="24"/>
          <w:lang w:val="zh-CN"/>
        </w:rPr>
      </w:pPr>
      <w:r w:rsidRPr="000058EE">
        <w:rPr>
          <w:rFonts w:ascii="Tahoma" w:hAnsi="Tahoma" w:hint="eastAsia"/>
          <w:b/>
          <w:sz w:val="24"/>
          <w:szCs w:val="24"/>
          <w:lang w:val="zh-CN"/>
        </w:rPr>
        <w:t>联</w:t>
      </w:r>
      <w:r w:rsidRPr="000058EE">
        <w:rPr>
          <w:rFonts w:ascii="Tahoma" w:hAnsi="Tahoma" w:hint="eastAsia"/>
          <w:b/>
          <w:sz w:val="24"/>
          <w:szCs w:val="24"/>
          <w:lang w:val="zh-CN"/>
        </w:rPr>
        <w:t xml:space="preserve"> </w:t>
      </w:r>
      <w:r w:rsidRPr="000058EE">
        <w:rPr>
          <w:rFonts w:ascii="Tahoma" w:hAnsi="Tahoma" w:hint="eastAsia"/>
          <w:b/>
          <w:sz w:val="24"/>
          <w:szCs w:val="24"/>
          <w:lang w:val="zh-CN"/>
        </w:rPr>
        <w:t>系</w:t>
      </w:r>
      <w:r w:rsidRPr="000058EE">
        <w:rPr>
          <w:rFonts w:ascii="Tahoma" w:hAnsi="Tahoma" w:hint="eastAsia"/>
          <w:b/>
          <w:sz w:val="24"/>
          <w:szCs w:val="24"/>
          <w:lang w:val="zh-CN"/>
        </w:rPr>
        <w:t xml:space="preserve"> </w:t>
      </w:r>
      <w:r w:rsidRPr="000058EE">
        <w:rPr>
          <w:rFonts w:ascii="Tahoma" w:hAnsi="Tahoma" w:hint="eastAsia"/>
          <w:b/>
          <w:sz w:val="24"/>
          <w:szCs w:val="24"/>
          <w:lang w:val="zh-CN"/>
        </w:rPr>
        <w:t>人：</w:t>
      </w:r>
      <w:r w:rsidR="00912AFB">
        <w:rPr>
          <w:rFonts w:ascii="Tahoma" w:hAnsi="Tahoma" w:hint="eastAsia"/>
          <w:sz w:val="24"/>
          <w:szCs w:val="24"/>
          <w:lang w:val="zh-CN"/>
        </w:rPr>
        <w:t>李莹</w:t>
      </w:r>
    </w:p>
    <w:p w:rsidR="00F2555F" w:rsidRPr="000058EE" w:rsidRDefault="00F2555F" w:rsidP="000058EE">
      <w:pPr>
        <w:spacing w:line="400" w:lineRule="exact"/>
        <w:rPr>
          <w:rFonts w:ascii="Tahoma" w:hAnsi="Tahoma"/>
          <w:b/>
          <w:sz w:val="24"/>
          <w:szCs w:val="24"/>
          <w:lang w:val="zh-CN"/>
        </w:rPr>
      </w:pPr>
      <w:r w:rsidRPr="000058EE">
        <w:rPr>
          <w:rFonts w:ascii="Tahoma" w:hAnsi="Tahoma" w:hint="eastAsia"/>
          <w:b/>
          <w:sz w:val="24"/>
          <w:szCs w:val="24"/>
          <w:lang w:val="zh-CN"/>
        </w:rPr>
        <w:t>联系方式：</w:t>
      </w:r>
      <w:r w:rsidR="009C2B17" w:rsidRPr="000058EE">
        <w:rPr>
          <w:rFonts w:ascii="Tahoma" w:hAnsi="Tahoma" w:hint="eastAsia"/>
          <w:sz w:val="24"/>
          <w:szCs w:val="24"/>
          <w:lang w:val="zh-CN"/>
        </w:rPr>
        <w:t>0533-716</w:t>
      </w:r>
      <w:r w:rsidR="00EF27E7" w:rsidRPr="000058EE">
        <w:rPr>
          <w:rFonts w:ascii="Tahoma" w:hAnsi="Tahoma" w:hint="eastAsia"/>
          <w:sz w:val="24"/>
          <w:szCs w:val="24"/>
          <w:lang w:val="zh-CN"/>
        </w:rPr>
        <w:t>0456</w:t>
      </w:r>
    </w:p>
    <w:p w:rsidR="00F2555F" w:rsidRPr="001F2898" w:rsidRDefault="00F2555F" w:rsidP="000058EE">
      <w:pPr>
        <w:spacing w:line="400" w:lineRule="exact"/>
        <w:rPr>
          <w:rFonts w:ascii="Tahoma" w:hAnsi="Tahoma"/>
          <w:sz w:val="24"/>
          <w:szCs w:val="24"/>
          <w:lang w:val="zh-CN"/>
        </w:rPr>
      </w:pPr>
      <w:r w:rsidRPr="000058EE">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0058EE">
      <w:pPr>
        <w:spacing w:line="400" w:lineRule="exact"/>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0058EE">
      <w:pPr>
        <w:spacing w:line="400" w:lineRule="exact"/>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0058EE">
      <w:pPr>
        <w:spacing w:line="400" w:lineRule="exact"/>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0058EE">
      <w:pPr>
        <w:spacing w:line="400" w:lineRule="exact"/>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0058EE">
      <w:pPr>
        <w:spacing w:after="120" w:line="40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r w:rsidR="000058EE">
        <w:rPr>
          <w:rFonts w:cs="宋体" w:hint="eastAsia"/>
          <w:b/>
          <w:color w:val="000000" w:themeColor="text1"/>
          <w:sz w:val="24"/>
          <w:szCs w:val="24"/>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0058EE">
        <w:trPr>
          <w:trHeight w:val="446"/>
        </w:trPr>
        <w:tc>
          <w:tcPr>
            <w:tcW w:w="710" w:type="dxa"/>
            <w:vAlign w:val="center"/>
          </w:tcPr>
          <w:p w:rsidR="00042805" w:rsidRPr="001F2898" w:rsidRDefault="00042805" w:rsidP="000058EE">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0058EE">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0058EE">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0058EE">
        <w:trPr>
          <w:trHeight w:val="113"/>
        </w:trPr>
        <w:tc>
          <w:tcPr>
            <w:tcW w:w="710" w:type="dxa"/>
            <w:vAlign w:val="center"/>
          </w:tcPr>
          <w:p w:rsidR="00042805" w:rsidRPr="001F2898" w:rsidRDefault="00042805" w:rsidP="000058EE">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A44F54">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A44F54">
              <w:rPr>
                <w:rFonts w:cs="宋体" w:hint="eastAsia"/>
                <w:b/>
                <w:color w:val="000000" w:themeColor="text1"/>
                <w:sz w:val="24"/>
                <w:szCs w:val="24"/>
              </w:rPr>
              <w:t>药学管理软件</w:t>
            </w:r>
            <w:r w:rsidR="00F174BC">
              <w:rPr>
                <w:rFonts w:cs="宋体" w:hint="eastAsia"/>
                <w:b/>
                <w:color w:val="000000" w:themeColor="text1"/>
                <w:sz w:val="24"/>
                <w:szCs w:val="24"/>
              </w:rPr>
              <w:t>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Pr="002C2119">
              <w:rPr>
                <w:rFonts w:cs="宋体" w:hint="eastAsia"/>
                <w:color w:val="000000" w:themeColor="text1"/>
                <w:sz w:val="24"/>
                <w:szCs w:val="24"/>
              </w:rPr>
              <w:t>、具有独立法人资格的供应商，具有统一社会信用代码的营业执照、</w:t>
            </w:r>
            <w:r w:rsidR="00A44F54" w:rsidRPr="00FE2E80">
              <w:rPr>
                <w:rFonts w:ascii="Calibri" w:eastAsia="宋体" w:hAnsi="Calibri" w:cs="Times New Roman" w:hint="eastAsia"/>
                <w:color w:val="000000"/>
                <w:sz w:val="24"/>
              </w:rPr>
              <w:t>计算机软件著作权登记证</w:t>
            </w:r>
            <w:r w:rsidR="00A44F54">
              <w:rPr>
                <w:rFonts w:hint="eastAsia"/>
                <w:color w:val="000000"/>
                <w:sz w:val="24"/>
              </w:rPr>
              <w:t>等有效证件</w:t>
            </w:r>
            <w:r w:rsidRPr="002C2119">
              <w:rPr>
                <w:rFonts w:cs="宋体" w:hint="eastAsia"/>
                <w:color w:val="000000" w:themeColor="text1"/>
                <w:sz w:val="24"/>
                <w:szCs w:val="24"/>
              </w:rPr>
              <w:t>；法定代表人身份证或法人授权委托书及被委托人身份证</w:t>
            </w:r>
            <w:r w:rsidRPr="002C2119">
              <w:rPr>
                <w:rFonts w:cs="宋体" w:hint="eastAsia"/>
                <w:color w:val="000000" w:themeColor="text1"/>
                <w:sz w:val="24"/>
                <w:szCs w:val="24"/>
              </w:rPr>
              <w:t>,</w:t>
            </w:r>
            <w:r w:rsidRPr="002C2119">
              <w:rPr>
                <w:rFonts w:cs="宋体" w:hint="eastAsia"/>
                <w:color w:val="000000" w:themeColor="text1"/>
                <w:sz w:val="24"/>
                <w:szCs w:val="24"/>
              </w:rPr>
              <w:t>代理商另需提供生产厂家出具的针对本项目的授权委托书；授权链相关公司资质</w:t>
            </w:r>
            <w:r w:rsidRPr="00A44F54">
              <w:rPr>
                <w:rFonts w:hint="eastAsia"/>
                <w:color w:val="000000"/>
                <w:sz w:val="24"/>
              </w:rPr>
              <w:t>（</w:t>
            </w:r>
            <w:r w:rsidR="00A44F54" w:rsidRPr="00A44F54">
              <w:rPr>
                <w:rFonts w:hint="eastAsia"/>
                <w:color w:val="000000"/>
                <w:sz w:val="24"/>
              </w:rPr>
              <w:t>同时提供所代理生产厂家的具有统一社会信用代码的营业执照、生产许可证复印件，生产厂家出具的针对本项目的授权委托书）</w:t>
            </w:r>
            <w:r w:rsidRPr="002C2119">
              <w:rPr>
                <w:rFonts w:cs="宋体" w:hint="eastAsia"/>
                <w:color w:val="000000" w:themeColor="text1"/>
                <w:sz w:val="24"/>
                <w:szCs w:val="24"/>
              </w:rPr>
              <w:t>，以上证件原件及盖章复印件</w:t>
            </w:r>
            <w:r w:rsidRPr="002C2119">
              <w:rPr>
                <w:rFonts w:cs="宋体" w:hint="eastAsia"/>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）两个网站加盖鲜章的截图。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0058EE" w:rsidRDefault="00F2555F" w:rsidP="000058EE">
      <w:pPr>
        <w:snapToGrid w:val="0"/>
        <w:spacing w:line="400" w:lineRule="exact"/>
        <w:ind w:firstLineChars="200" w:firstLine="480"/>
        <w:rPr>
          <w:sz w:val="24"/>
          <w:szCs w:val="24"/>
        </w:rPr>
      </w:pPr>
      <w:r w:rsidRPr="000058EE">
        <w:rPr>
          <w:rFonts w:hint="eastAsia"/>
          <w:sz w:val="24"/>
          <w:szCs w:val="24"/>
        </w:rPr>
        <w:t>本次招标共</w:t>
      </w:r>
      <w:r w:rsidR="00741B09" w:rsidRPr="000058EE">
        <w:rPr>
          <w:rFonts w:hint="eastAsia"/>
          <w:sz w:val="24"/>
          <w:szCs w:val="24"/>
        </w:rPr>
        <w:t>1</w:t>
      </w:r>
      <w:r w:rsidRPr="000058EE">
        <w:rPr>
          <w:rFonts w:hint="eastAsia"/>
          <w:sz w:val="24"/>
          <w:szCs w:val="24"/>
        </w:rPr>
        <w:t>个包，供应商须对所报项目的内容做出报价响应，否则作废标处理。</w:t>
      </w:r>
    </w:p>
    <w:p w:rsidR="005309E4" w:rsidRPr="000058EE" w:rsidRDefault="00F2555F" w:rsidP="000058EE">
      <w:pPr>
        <w:pStyle w:val="a5"/>
        <w:tabs>
          <w:tab w:val="left" w:pos="360"/>
          <w:tab w:val="left" w:pos="900"/>
        </w:tabs>
        <w:spacing w:line="400" w:lineRule="exact"/>
        <w:ind w:firstLineChars="200" w:firstLine="480"/>
        <w:rPr>
          <w:rFonts w:ascii="宋体" w:hAnsi="宋体"/>
          <w:sz w:val="24"/>
          <w:szCs w:val="24"/>
        </w:rPr>
      </w:pPr>
      <w:r w:rsidRPr="000058EE">
        <w:rPr>
          <w:rFonts w:hAnsi="宋体" w:hint="eastAsia"/>
          <w:sz w:val="24"/>
          <w:szCs w:val="24"/>
        </w:rPr>
        <w:t>设备主要技术参数及服务要求</w:t>
      </w:r>
      <w:r w:rsidR="005309E4" w:rsidRPr="000058EE">
        <w:rPr>
          <w:rFonts w:ascii="宋体" w:hAnsi="宋体" w:hint="eastAsia"/>
          <w:sz w:val="24"/>
          <w:szCs w:val="24"/>
        </w:rPr>
        <w:t>1、除了本项目货物的技术规格要求以外，投标响应的技术指标均应符合相应的国家标准。并提供相关有效的认证资料或提供能包涵本项目需要货物的技术要求资料给予支持说明。</w:t>
      </w:r>
    </w:p>
    <w:p w:rsidR="005309E4" w:rsidRDefault="005309E4" w:rsidP="000058EE">
      <w:pPr>
        <w:spacing w:line="400" w:lineRule="exact"/>
        <w:ind w:firstLineChars="196" w:firstLine="470"/>
        <w:rPr>
          <w:rFonts w:ascii="宋体" w:hAnsi="宋体"/>
          <w:sz w:val="24"/>
          <w:szCs w:val="24"/>
        </w:rPr>
      </w:pPr>
      <w:r w:rsidRPr="000058EE">
        <w:rPr>
          <w:rFonts w:ascii="宋体" w:hAnsi="宋体" w:hint="eastAsia"/>
          <w:sz w:val="24"/>
          <w:szCs w:val="24"/>
        </w:rPr>
        <w:t>2、货物需要技术要求如下：</w:t>
      </w:r>
    </w:p>
    <w:p w:rsidR="000058EE" w:rsidRPr="000058EE" w:rsidRDefault="000058EE" w:rsidP="000058EE">
      <w:pPr>
        <w:spacing w:line="400" w:lineRule="exact"/>
        <w:ind w:firstLineChars="196" w:firstLine="470"/>
        <w:rPr>
          <w:rFonts w:ascii="宋体" w:hAnsi="宋体"/>
          <w:sz w:val="24"/>
          <w:szCs w:val="24"/>
        </w:rPr>
      </w:pPr>
    </w:p>
    <w:p w:rsidR="005309E4" w:rsidRPr="00FB03ED" w:rsidRDefault="005309E4" w:rsidP="005309E4">
      <w:pPr>
        <w:spacing w:line="220" w:lineRule="atLeast"/>
        <w:jc w:val="center"/>
        <w:rPr>
          <w:rFonts w:ascii="宋体" w:hAnsi="宋体"/>
          <w:b/>
          <w:sz w:val="28"/>
          <w:szCs w:val="28"/>
        </w:rPr>
      </w:pPr>
      <w:r w:rsidRPr="00FB03ED">
        <w:rPr>
          <w:rFonts w:ascii="宋体" w:hAnsi="宋体" w:hint="eastAsia"/>
          <w:b/>
          <w:sz w:val="28"/>
          <w:szCs w:val="28"/>
        </w:rPr>
        <w:lastRenderedPageBreak/>
        <w:t>临淄区人民医院</w:t>
      </w:r>
      <w:r w:rsidR="00F34C3B">
        <w:rPr>
          <w:rFonts w:ascii="宋体" w:hAnsi="宋体" w:hint="eastAsia"/>
          <w:b/>
          <w:sz w:val="28"/>
          <w:szCs w:val="28"/>
        </w:rPr>
        <w:t>药学管理软件</w:t>
      </w:r>
      <w:r w:rsidR="003707E2">
        <w:rPr>
          <w:rFonts w:ascii="宋体" w:hAnsi="宋体" w:hint="eastAsia"/>
          <w:b/>
          <w:sz w:val="28"/>
          <w:szCs w:val="28"/>
        </w:rPr>
        <w:t>技术</w:t>
      </w:r>
      <w:r w:rsidRPr="00FB03ED">
        <w:rPr>
          <w:rFonts w:ascii="宋体" w:hAnsi="宋体" w:hint="eastAsia"/>
          <w:b/>
          <w:sz w:val="28"/>
          <w:szCs w:val="28"/>
        </w:rPr>
        <w:t>参数</w:t>
      </w:r>
    </w:p>
    <w:p w:rsidR="005309E4" w:rsidRDefault="005309E4" w:rsidP="005309E4">
      <w:pPr>
        <w:spacing w:line="220" w:lineRule="atLeast"/>
        <w:jc w:val="center"/>
        <w:rPr>
          <w:rFonts w:ascii="宋体" w:hAnsi="宋体"/>
          <w:sz w:val="28"/>
          <w:szCs w:val="28"/>
        </w:rPr>
      </w:pPr>
    </w:p>
    <w:p w:rsidR="00F34C3B" w:rsidRPr="00E73B85" w:rsidRDefault="00F34C3B" w:rsidP="00E73B85">
      <w:pPr>
        <w:spacing w:line="360" w:lineRule="auto"/>
        <w:rPr>
          <w:rFonts w:asciiTheme="minorEastAsia" w:hAnsiTheme="minorEastAsia"/>
          <w:b/>
          <w:sz w:val="24"/>
          <w:szCs w:val="24"/>
        </w:rPr>
      </w:pPr>
      <w:r w:rsidRPr="00E73B85">
        <w:rPr>
          <w:rFonts w:asciiTheme="minorEastAsia" w:hAnsiTheme="minorEastAsia" w:hint="eastAsia"/>
          <w:b/>
          <w:sz w:val="24"/>
          <w:szCs w:val="24"/>
        </w:rPr>
        <w:t>药品审方模块功能要求：</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1.1有单独的审方系统。</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1.2开始/停止审方：系统按照模块设置用户“开始审方”、“停止审方”的功能。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1.3处方审核超时功能：用户可设置处方/医嘱审核的超时时间，系统对于超过预设时间未经药师人工审核的处方/医嘱有系统标识通过。</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1.4系统预分析处理功能：系统基于知识库或规则对进入审方中心的处方/医嘱进行预分析处理，并将系统分析出来的问题进行分类。用户可根据医院的需要选择在医生工作站拦截严重问题的处方/医嘱，</w:t>
      </w:r>
      <w:r w:rsidRPr="00E73B85">
        <w:rPr>
          <w:rFonts w:asciiTheme="minorEastAsia" w:hAnsiTheme="minorEastAsia" w:cs="宋体"/>
          <w:color w:val="000000"/>
          <w:kern w:val="0"/>
          <w:sz w:val="24"/>
          <w:szCs w:val="24"/>
        </w:rPr>
        <w:t>以致处方/医嘱无法生效</w:t>
      </w:r>
      <w:r w:rsidRPr="00E73B85">
        <w:rPr>
          <w:rFonts w:asciiTheme="minorEastAsia" w:hAnsiTheme="minorEastAsia" w:cs="宋体" w:hint="eastAsia"/>
          <w:color w:val="000000"/>
          <w:kern w:val="0"/>
          <w:sz w:val="24"/>
          <w:szCs w:val="24"/>
        </w:rPr>
        <w:t>，将疑似问题</w:t>
      </w:r>
      <w:r w:rsidRPr="00E73B85">
        <w:rPr>
          <w:rFonts w:asciiTheme="minorEastAsia" w:hAnsiTheme="minorEastAsia" w:cs="宋体"/>
          <w:color w:val="000000"/>
          <w:kern w:val="0"/>
          <w:sz w:val="24"/>
          <w:szCs w:val="24"/>
        </w:rPr>
        <w:t>处方/医嘱</w:t>
      </w:r>
      <w:r w:rsidRPr="00E73B85">
        <w:rPr>
          <w:rFonts w:asciiTheme="minorEastAsia" w:hAnsiTheme="minorEastAsia" w:cs="宋体" w:hint="eastAsia"/>
          <w:color w:val="000000"/>
          <w:kern w:val="0"/>
          <w:sz w:val="24"/>
          <w:szCs w:val="24"/>
        </w:rPr>
        <w:t>流入审方药师的审方页面进行人工确认及干预。</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1.5处方优先审核功能：支持审方任务的自动分配，系统可以设置处方/医嘱的优先顺序。</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1.6审核意见模板设置功能：用户可设置常用的审核意见模板；</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1.7支持按单张处方、按患者合并审查医生用药问题，按照患者合并即合并患者当日所有有效处方。</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1.8支持审方页面一体化展示患者信息、处方/医嘱信息、检查检验信息、手术信息、生命体征信息、EMR病历信息及系统自动分析结果，并支持审核历史的查看，包括药师审核意见及医生处理结果。</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1.9门急诊药师审方系统可以为药师提供专门的审方工作平台，帮助药师在患者缴费前完成门诊处方实时审查。“系统”先自动审查出问题处方，再由药师人工审查，审查过程（审核通过、打回、提醒）中药师可以与医生实时互动，直到处方通过。</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2.0住院药师审方，系统可以为药师提供专门的审方工作平台，帮助药师在护士领药前完成住院医嘱审查。 “系统”应能区分临时医嘱和长期医嘱。对于长期医嘱，“系统”应能区分新开立医嘱和原医嘱。“系统”先自动审查出问题医嘱，再由药师人工审查，审查过程（审核通过、打回、提醒）中药师可以与医生实时互动，直到医嘱通过。</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lastRenderedPageBreak/>
        <w:t xml:space="preserve">  2.1支持查看进入审方系统的全部处方或医嘱，包括人工审核通过及打回的处方/医嘱以及系统自动通过的处方/医嘱。</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2.2支持药师审方工作统计功能，包括审方药师审核处方数、审核医嘱数、审查次数、干预次数。</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2.3可根据多重条件，抽取已审核处方/医嘱供药学管理人员进行回顾性分析评价，并可根据审核结果生成评价报表。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2.4问题处方查询及统计表：对于进入审方中心的处方，各种检索生成报表，并支持导出功能。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2.5系统参数设置：审方中心系统的系统参数设定功能，可设置项目包括：是否启用审方、是否启用全审方、审方超时时间、问题处方级别等。</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2.6启用审方科室设置：系统可分门诊、住院设置需启用审方的科室。</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2.7药师审方科室设置：系统可为每个药师分配对应的科室，药师只可以审核设置的科室的处方。</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2.8全处方监控科室设置：系统可分门诊、住院设置需要启用全处方审核的科室，对应科室的所有处方都需要药师进行人工审。</w:t>
      </w:r>
    </w:p>
    <w:p w:rsidR="00F34C3B" w:rsidRPr="00E73B85" w:rsidRDefault="00F34C3B" w:rsidP="00E73B85">
      <w:pPr>
        <w:widowControl/>
        <w:spacing w:line="360" w:lineRule="auto"/>
        <w:rPr>
          <w:rFonts w:asciiTheme="minorEastAsia" w:hAnsiTheme="minorEastAsia" w:cs="宋体"/>
          <w:color w:val="000000"/>
          <w:kern w:val="0"/>
          <w:sz w:val="24"/>
          <w:szCs w:val="24"/>
        </w:rPr>
      </w:pPr>
    </w:p>
    <w:p w:rsidR="00F34C3B" w:rsidRDefault="00F34C3B" w:rsidP="00E73B85">
      <w:pPr>
        <w:widowControl/>
        <w:spacing w:line="360" w:lineRule="auto"/>
        <w:rPr>
          <w:rFonts w:asciiTheme="minorEastAsia" w:hAnsiTheme="minorEastAsia" w:cs="宋体"/>
          <w:color w:val="000000"/>
          <w:kern w:val="0"/>
          <w:sz w:val="24"/>
          <w:szCs w:val="24"/>
        </w:rPr>
      </w:pPr>
    </w:p>
    <w:p w:rsidR="00E73B85" w:rsidRPr="00E73B85" w:rsidRDefault="00E73B85" w:rsidP="00E73B85">
      <w:pPr>
        <w:widowControl/>
        <w:spacing w:line="360" w:lineRule="auto"/>
        <w:rPr>
          <w:rFonts w:asciiTheme="minorEastAsia" w:hAnsiTheme="minorEastAsia" w:cs="宋体"/>
          <w:b/>
          <w:color w:val="000000"/>
          <w:kern w:val="0"/>
          <w:sz w:val="24"/>
          <w:szCs w:val="24"/>
        </w:rPr>
      </w:pPr>
    </w:p>
    <w:p w:rsidR="00F34C3B" w:rsidRPr="00E73B85" w:rsidRDefault="00F34C3B" w:rsidP="00E73B85">
      <w:pPr>
        <w:widowControl/>
        <w:spacing w:line="360" w:lineRule="auto"/>
        <w:rPr>
          <w:rFonts w:asciiTheme="minorEastAsia" w:hAnsiTheme="minorEastAsia" w:cs="宋体"/>
          <w:b/>
          <w:color w:val="000000"/>
          <w:kern w:val="0"/>
          <w:sz w:val="24"/>
          <w:szCs w:val="24"/>
        </w:rPr>
      </w:pPr>
      <w:r w:rsidRPr="00E73B85">
        <w:rPr>
          <w:rFonts w:asciiTheme="minorEastAsia" w:hAnsiTheme="minorEastAsia" w:cs="宋体" w:hint="eastAsia"/>
          <w:b/>
          <w:color w:val="000000"/>
          <w:kern w:val="0"/>
          <w:sz w:val="24"/>
          <w:szCs w:val="24"/>
        </w:rPr>
        <w:t>用药合理性分析审查模块功能要求：</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1.1 要点提示功能：用户开立处方/医嘱时，系统针对用户所选择的药品进行“要点提示”。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1.2药品说明书摘要：将药品说明书的全文内容进行提炼，对用药过程中需要注意的事项进行摘要提示。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1.3剂量审查：结合年龄、给药途径等信息审查处方（医嘱）中药品剂量、给药频率是否在药品厂家说明书推荐范围内。</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1.3.1审查每次剂量和每日剂量的最大最小推荐量；</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1.3.2审查处方/医嘱中药品的每次和每日给药剂量是否超出规定极量；</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1.3</w:t>
      </w:r>
      <w:r w:rsidRPr="00E73B85">
        <w:rPr>
          <w:rFonts w:asciiTheme="minorEastAsia" w:hAnsiTheme="minorEastAsia" w:cs="宋体" w:hint="eastAsia"/>
          <w:color w:val="000000"/>
          <w:kern w:val="0"/>
          <w:sz w:val="24"/>
          <w:szCs w:val="24"/>
        </w:rPr>
        <w:t>.3可以对处方/医嘱中超过</w:t>
      </w:r>
      <w:r w:rsidRPr="00E73B85">
        <w:rPr>
          <w:rFonts w:asciiTheme="minorEastAsia" w:hAnsiTheme="minorEastAsia" w:cs="宋体"/>
          <w:color w:val="000000"/>
          <w:kern w:val="0"/>
          <w:sz w:val="24"/>
          <w:szCs w:val="24"/>
        </w:rPr>
        <w:t>2</w:t>
      </w:r>
      <w:r w:rsidRPr="00E73B85">
        <w:rPr>
          <w:rFonts w:asciiTheme="minorEastAsia" w:hAnsiTheme="minorEastAsia" w:cs="宋体" w:hint="eastAsia"/>
          <w:color w:val="000000"/>
          <w:kern w:val="0"/>
          <w:sz w:val="24"/>
          <w:szCs w:val="24"/>
        </w:rPr>
        <w:t>倍最大推荐量等明显异常用量进行审查；</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1.3.4审查处方/医嘱中药品的给药频率是否超出规定频率；</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lastRenderedPageBreak/>
        <w:t>1.4药品总剂量审查：审查处方/医嘱中药品的疗程总剂量、给药持续时间是否在药品厂家说明书规定范围内。</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1.5兴奋剂：以《兴奋剂目录》为依据，对是否含有兴奋剂物质的药品进行提示——所含兴奋剂名称，使医生接诊的患者为运动员时，可以避免使用此类药品。</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1.6食物与药物信息：当选择的药品与常见的食物存在相生相克问题时，系统进行提示。</w:t>
      </w:r>
      <w:r w:rsidRPr="00E73B85">
        <w:rPr>
          <w:rFonts w:asciiTheme="minorEastAsia" w:hAnsiTheme="minorEastAsia" w:cs="宋体"/>
          <w:color w:val="000000"/>
          <w:kern w:val="0"/>
          <w:sz w:val="24"/>
          <w:szCs w:val="24"/>
        </w:rPr>
        <w:t>1.</w:t>
      </w:r>
      <w:bookmarkStart w:id="0" w:name="_Toc428205409"/>
      <w:bookmarkStart w:id="1" w:name="_Toc420403230"/>
      <w:r w:rsidRPr="00E73B85">
        <w:rPr>
          <w:rFonts w:asciiTheme="minorEastAsia" w:hAnsiTheme="minorEastAsia" w:cs="宋体" w:hint="eastAsia"/>
          <w:color w:val="000000"/>
          <w:kern w:val="0"/>
          <w:sz w:val="24"/>
          <w:szCs w:val="24"/>
        </w:rPr>
        <w:t>5麻醉药品信息提示</w:t>
      </w:r>
      <w:bookmarkEnd w:id="0"/>
      <w:bookmarkEnd w:id="1"/>
      <w:r w:rsidRPr="00E73B85">
        <w:rPr>
          <w:rFonts w:asciiTheme="minorEastAsia" w:hAnsiTheme="minorEastAsia" w:cs="宋体" w:hint="eastAsia"/>
          <w:color w:val="000000"/>
          <w:kern w:val="0"/>
          <w:sz w:val="24"/>
          <w:szCs w:val="24"/>
        </w:rPr>
        <w:t>：以《麻醉药品临床应用指导原则》为依据，结合《处方管理办法》，对属于此范围内的药品进行处方量限定信息提示。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w:t>
      </w:r>
      <w:r w:rsidRPr="00E73B85">
        <w:rPr>
          <w:rFonts w:asciiTheme="minorEastAsia" w:hAnsiTheme="minorEastAsia" w:cs="宋体" w:hint="eastAsia"/>
          <w:color w:val="000000"/>
          <w:kern w:val="0"/>
          <w:sz w:val="24"/>
          <w:szCs w:val="24"/>
        </w:rPr>
        <w:t>7精神类药品信息：以《精神药品临床应用指导原则》为依据，结合《处方管理办法》，对属于此范围内的药品进行处方量限定信息提示。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w:t>
      </w:r>
      <w:bookmarkStart w:id="2" w:name="_Toc428205411"/>
      <w:bookmarkStart w:id="3" w:name="_Toc420403232"/>
      <w:r w:rsidRPr="00E73B85">
        <w:rPr>
          <w:rFonts w:asciiTheme="minorEastAsia" w:hAnsiTheme="minorEastAsia" w:cs="宋体" w:hint="eastAsia"/>
          <w:color w:val="000000"/>
          <w:kern w:val="0"/>
          <w:sz w:val="24"/>
          <w:szCs w:val="24"/>
        </w:rPr>
        <w:t>8抗菌药物分级信息</w:t>
      </w:r>
      <w:bookmarkEnd w:id="2"/>
      <w:bookmarkEnd w:id="3"/>
      <w:r w:rsidRPr="00E73B85">
        <w:rPr>
          <w:rFonts w:asciiTheme="minorEastAsia" w:hAnsiTheme="minorEastAsia" w:cs="宋体" w:hint="eastAsia"/>
          <w:color w:val="000000"/>
          <w:kern w:val="0"/>
          <w:sz w:val="24"/>
          <w:szCs w:val="24"/>
        </w:rPr>
        <w:t>：以各省级卫生厅发布的《抗菌药物临床应用分级管理目录》为依据，对抗菌药物分级信息进行提示。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1.9药物相互作用审查：对患者同时使用的处方/医嘱中的药品两两之间或是药品所含成份之间存在的相互作用进行审查，对于存在的问题进行提示。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2.0注射药物配伍审查：对将在同一容器中混合的注射药品进行配伍审查，对混合后会导致药液浑浊、变色、稳定性变化等配伍问题进行提示，提示内容包括详细信息及参考文献。</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2.1配伍浓度审查：审查同组注射药品配伍后的药品浓度是否在规定浓度范围内，同时提供相关详细信息，对于存在的问题进行提示。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2.2药物过敏史审查：根据药品说明书内容，结合患者的过敏信息分析处方/医嘱中的药品是否存在患者禁用或是慎用的药品，对于存在的问题进行提示。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2.3药物检验值审查：可结合患者检验值审查药物使用是否合理，对于存在的问题进行提示。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2.4年龄与性别用药审查：根据药品说明书内容，结合患者的“年龄”、“性别”及“年龄+性别”信息进行分析，对于存在问题进行提示。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2.5禁忌症审查：结合患者诊断和</w:t>
      </w:r>
      <w:r w:rsidRPr="00E73B85">
        <w:rPr>
          <w:rFonts w:asciiTheme="minorEastAsia" w:hAnsiTheme="minorEastAsia" w:cs="宋体"/>
          <w:color w:val="000000"/>
          <w:kern w:val="0"/>
          <w:sz w:val="24"/>
          <w:szCs w:val="24"/>
        </w:rPr>
        <w:t>病生状态</w:t>
      </w:r>
      <w:r w:rsidRPr="00E73B85">
        <w:rPr>
          <w:rFonts w:asciiTheme="minorEastAsia" w:hAnsiTheme="minorEastAsia" w:cs="宋体" w:hint="eastAsia"/>
          <w:color w:val="000000"/>
          <w:kern w:val="0"/>
          <w:sz w:val="24"/>
          <w:szCs w:val="24"/>
        </w:rPr>
        <w:t>信息，审查处方（医嘱）中是否存在该患者禁用的药品包括中药。</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2.6不良反应审查：结合患者的诊断和病生状态信息，审查处方（医嘱）中是否存在可能引起或加重患者当前病理状况的药品。系统相关审查数据应包括国家药监局发布的不良反应通报。</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lastRenderedPageBreak/>
        <w:t>2.7妊娠期妇女用药审查：根据药品说明书内容，结合患者生理状态进行分析，当患者处于妊娠期时，对处方中的药品进行妊娠期用药审查，对于存在的问题进行提示。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2.8哺乳期妇女用药审查：根据药品说明书内容，结合患者生理状态进行分析，当患者处于哺乳期时，对处方中的药品进行哺乳期用药审查，对于存在的问题进行提示。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2.9肝功能不全患者的用药审查：根据药品说明书内容，结合患者肝功能状态进行分析，当患者肝功能不全时，对处方中的药品进行肝功能不全用药审查，对于存在的问题进行提示。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3.0肾功能不全患者的用药审查：根据药品说明书内容，结合患者肾功能状态进行分析，当患者肾功能不全时，对处方中的药品进行肾功能不全用药审查，对于存在的问题进行提示。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3.1给药途径审查：根据药品说明书内容，对处方/医嘱中的药品选择的给药途径进行分析，对于存在给药途径选择问题进行提示。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3.2对同种、同类、同成份的药品进行审查：对患者同时使用的药品进行重复用药问题审查。包括是否使用了同种药、同类药或所含成份相同的药品。</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3.3对抗菌谱相同的抗菌药品进行审查：对患者同时使用具有相似抗菌谱的抗菌药品问题进行审查和提示。</w:t>
      </w:r>
    </w:p>
    <w:p w:rsidR="00F34C3B" w:rsidRPr="00E73B85" w:rsidRDefault="00F34C3B" w:rsidP="00E73B85">
      <w:pPr>
        <w:widowControl/>
        <w:spacing w:line="360" w:lineRule="auto"/>
        <w:rPr>
          <w:rFonts w:asciiTheme="minorEastAsia" w:hAnsiTheme="minorEastAsia" w:cs="宋体"/>
          <w:color w:val="000000"/>
          <w:kern w:val="0"/>
          <w:sz w:val="24"/>
          <w:szCs w:val="24"/>
        </w:rPr>
      </w:pPr>
      <w:bookmarkStart w:id="4" w:name="_Toc428205425"/>
      <w:r w:rsidRPr="00E73B85">
        <w:rPr>
          <w:rFonts w:asciiTheme="minorEastAsia" w:hAnsiTheme="minorEastAsia" w:cs="宋体" w:hint="eastAsia"/>
          <w:color w:val="000000"/>
          <w:kern w:val="0"/>
          <w:sz w:val="24"/>
          <w:szCs w:val="24"/>
        </w:rPr>
        <w:t>3.4药物与诊断（ICD-10）关联审查（禁忌症）</w:t>
      </w:r>
      <w:bookmarkEnd w:id="4"/>
      <w:r w:rsidRPr="00E73B85">
        <w:rPr>
          <w:rFonts w:asciiTheme="minorEastAsia" w:hAnsiTheme="minorEastAsia" w:cs="宋体" w:hint="eastAsia"/>
          <w:color w:val="000000"/>
          <w:kern w:val="0"/>
          <w:sz w:val="24"/>
          <w:szCs w:val="24"/>
        </w:rPr>
        <w:t>：通过患者的诊断与处方药品，分析药品与诊断之间是否存在问题。</w:t>
      </w:r>
    </w:p>
    <w:p w:rsidR="00F34C3B" w:rsidRPr="00E73B85" w:rsidRDefault="00F34C3B" w:rsidP="00E73B85">
      <w:pPr>
        <w:widowControl/>
        <w:spacing w:line="360" w:lineRule="auto"/>
        <w:rPr>
          <w:rFonts w:asciiTheme="minorEastAsia" w:hAnsiTheme="minorEastAsia" w:cs="宋体"/>
          <w:color w:val="000000"/>
          <w:kern w:val="0"/>
          <w:sz w:val="24"/>
          <w:szCs w:val="24"/>
        </w:rPr>
      </w:pPr>
      <w:bookmarkStart w:id="5" w:name="_Toc428205426"/>
      <w:r w:rsidRPr="00E73B85">
        <w:rPr>
          <w:rFonts w:asciiTheme="minorEastAsia" w:hAnsiTheme="minorEastAsia" w:cs="宋体" w:hint="eastAsia"/>
          <w:color w:val="000000"/>
          <w:kern w:val="0"/>
          <w:sz w:val="24"/>
          <w:szCs w:val="24"/>
        </w:rPr>
        <w:t>3.5药物与诊断（ICD-10）关联审查（适应症）</w:t>
      </w:r>
      <w:bookmarkEnd w:id="5"/>
      <w:r w:rsidRPr="00E73B85">
        <w:rPr>
          <w:rFonts w:asciiTheme="minorEastAsia" w:hAnsiTheme="minorEastAsia" w:cs="宋体" w:hint="eastAsia"/>
          <w:color w:val="000000"/>
          <w:kern w:val="0"/>
          <w:sz w:val="24"/>
          <w:szCs w:val="24"/>
        </w:rPr>
        <w:t>：通过患者的诊断与处方药品，分析药品适应诊是否与患者诊断相符合；并对无适应症用药的问题进行提示。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bookmarkStart w:id="6" w:name="_Toc428205427"/>
      <w:bookmarkStart w:id="7" w:name="_Toc420403234"/>
      <w:r w:rsidRPr="00E73B85">
        <w:rPr>
          <w:rFonts w:asciiTheme="minorEastAsia" w:hAnsiTheme="minorEastAsia" w:cs="宋体" w:hint="eastAsia"/>
          <w:color w:val="000000"/>
          <w:kern w:val="0"/>
          <w:sz w:val="24"/>
          <w:szCs w:val="24"/>
        </w:rPr>
        <w:t>3.6麻醉药品处方量审核</w:t>
      </w:r>
      <w:bookmarkEnd w:id="6"/>
      <w:bookmarkEnd w:id="7"/>
      <w:r w:rsidRPr="00E73B85">
        <w:rPr>
          <w:rFonts w:asciiTheme="minorEastAsia" w:hAnsiTheme="minorEastAsia" w:cs="宋体" w:hint="eastAsia"/>
          <w:color w:val="000000"/>
          <w:kern w:val="0"/>
          <w:sz w:val="24"/>
          <w:szCs w:val="24"/>
        </w:rPr>
        <w:t>：根据处方管理办法，对开具麻醉药品处方未执行国家有关规定的超常处方进行提示。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bookmarkStart w:id="8" w:name="_Toc428205428"/>
      <w:bookmarkStart w:id="9" w:name="_Toc420403235"/>
      <w:r w:rsidRPr="00E73B85">
        <w:rPr>
          <w:rFonts w:asciiTheme="minorEastAsia" w:hAnsiTheme="minorEastAsia" w:cs="宋体" w:hint="eastAsia"/>
          <w:color w:val="000000"/>
          <w:kern w:val="0"/>
          <w:sz w:val="24"/>
          <w:szCs w:val="24"/>
        </w:rPr>
        <w:t>3.7精神药品处方量审核</w:t>
      </w:r>
      <w:bookmarkEnd w:id="8"/>
      <w:bookmarkEnd w:id="9"/>
      <w:r w:rsidRPr="00E73B85">
        <w:rPr>
          <w:rFonts w:asciiTheme="minorEastAsia" w:hAnsiTheme="minorEastAsia" w:cs="宋体" w:hint="eastAsia"/>
          <w:color w:val="000000"/>
          <w:kern w:val="0"/>
          <w:sz w:val="24"/>
          <w:szCs w:val="24"/>
        </w:rPr>
        <w:t>：根据处方管理办法，对开具精神药品处方未执行国家有关规定的超常处方进行提示。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bookmarkStart w:id="10" w:name="_Toc428205429"/>
      <w:bookmarkStart w:id="11" w:name="_Toc420403242"/>
      <w:r w:rsidRPr="00E73B85">
        <w:rPr>
          <w:rFonts w:asciiTheme="minorEastAsia" w:hAnsiTheme="minorEastAsia" w:cs="宋体" w:hint="eastAsia"/>
          <w:color w:val="000000"/>
          <w:kern w:val="0"/>
          <w:sz w:val="24"/>
          <w:szCs w:val="24"/>
        </w:rPr>
        <w:t>3.8抗菌药物分级管理审查</w:t>
      </w:r>
      <w:bookmarkEnd w:id="10"/>
      <w:bookmarkEnd w:id="11"/>
      <w:r w:rsidRPr="00E73B85">
        <w:rPr>
          <w:rFonts w:asciiTheme="minorEastAsia" w:hAnsiTheme="minorEastAsia" w:cs="宋体" w:hint="eastAsia"/>
          <w:color w:val="000000"/>
          <w:kern w:val="0"/>
          <w:sz w:val="24"/>
          <w:szCs w:val="24"/>
        </w:rPr>
        <w:t>：根据卫生部印发抗菌药物指导原则，系统对超权限使用抗菌药物问题进行审查并提醒。</w:t>
      </w:r>
    </w:p>
    <w:p w:rsidR="00F34C3B" w:rsidRPr="00E73B85" w:rsidRDefault="00F34C3B" w:rsidP="00E73B85">
      <w:pPr>
        <w:widowControl/>
        <w:spacing w:line="360" w:lineRule="auto"/>
        <w:rPr>
          <w:rFonts w:asciiTheme="minorEastAsia" w:hAnsiTheme="minorEastAsia" w:cs="宋体"/>
          <w:color w:val="000000"/>
          <w:kern w:val="0"/>
          <w:sz w:val="24"/>
          <w:szCs w:val="24"/>
        </w:rPr>
      </w:pPr>
      <w:bookmarkStart w:id="12" w:name="_Toc420403254"/>
      <w:bookmarkStart w:id="13" w:name="_Toc428205430"/>
      <w:r w:rsidRPr="00E73B85">
        <w:rPr>
          <w:rFonts w:asciiTheme="minorEastAsia" w:hAnsiTheme="minorEastAsia" w:cs="宋体" w:hint="eastAsia"/>
          <w:color w:val="000000"/>
          <w:kern w:val="0"/>
          <w:sz w:val="24"/>
          <w:szCs w:val="24"/>
        </w:rPr>
        <w:lastRenderedPageBreak/>
        <w:t>3.9肝肾功能用药量设置及审核</w:t>
      </w:r>
      <w:bookmarkEnd w:id="12"/>
      <w:bookmarkEnd w:id="13"/>
      <w:r w:rsidRPr="00E73B85">
        <w:rPr>
          <w:rFonts w:asciiTheme="minorEastAsia" w:hAnsiTheme="minorEastAsia" w:cs="宋体" w:hint="eastAsia"/>
          <w:color w:val="000000"/>
          <w:kern w:val="0"/>
          <w:sz w:val="24"/>
          <w:szCs w:val="24"/>
        </w:rPr>
        <w:t>：对于药品在肝肾功能异常患者使用时的要求进行设置，并能对肝肾功能异常患者药物使用合理性问题进行提示。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bookmarkStart w:id="14" w:name="_Toc428205431"/>
      <w:bookmarkStart w:id="15" w:name="_Toc420403255"/>
      <w:r w:rsidRPr="00E73B85">
        <w:rPr>
          <w:rFonts w:asciiTheme="minorEastAsia" w:hAnsiTheme="minorEastAsia" w:cs="宋体" w:hint="eastAsia"/>
          <w:color w:val="000000"/>
          <w:kern w:val="0"/>
          <w:sz w:val="24"/>
          <w:szCs w:val="24"/>
        </w:rPr>
        <w:t>4.0药品可选使用频次设置及审查功能</w:t>
      </w:r>
      <w:bookmarkEnd w:id="14"/>
      <w:bookmarkEnd w:id="15"/>
      <w:r w:rsidRPr="00E73B85">
        <w:rPr>
          <w:rFonts w:asciiTheme="minorEastAsia" w:hAnsiTheme="minorEastAsia" w:cs="宋体" w:hint="eastAsia"/>
          <w:color w:val="000000"/>
          <w:kern w:val="0"/>
          <w:sz w:val="24"/>
          <w:szCs w:val="24"/>
        </w:rPr>
        <w:t>：对于药品可选的使用频次进行设置，并对药品使用频次选用不当问题进行提示。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4.1问题处方查询与统计：提供多种方式对历史问题处方进行查询，可按医院、时间段、处方中问题的严重程度及问题类型作为条件进行查询，并可重现处方问题。</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4.2问题处方审核：提供对问题处方进行审核的功能，对已审核的处方进行标识。</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4.3用户自定义分析规则设置：对于两两药品之间的配伍禁忌（禁用、慎用）和相互作用（禁用、慎用、提示）判断规则进行扩充，并能自定义提醒的文本内容；同样，能够屏蔽已有的判断规则。</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4.4 问题级别设置：对于不同类型的提醒信息系统提供默认级别间进行调整。</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4.5阻断问题类型设置：返回his一个值标识需要阻断开药流程。</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4.6药品超常规量审核规则自定义：在 “药品超常规量审核”描述的功能中，药品的常规量范围值使用的是药品知识库中维护的默认值。</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4.7药品要点提示自定义：对于药品的要点提示内容进行修改。</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4.8药品限定科室自定义：对于某药品有权使用科室、医师进行自定义设置。</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4.9不提示同类药提示分类设置：对于会分析同类药重复用药问题的药品分类进行自定义屏蔽。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5.0药品标识维护：对于某药品是否属于注射剂、高价药等进行自定义设置。</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5.1药品与诊断、检查对应：对于某药品与相关诊断，检验进行自定义设置。</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5.2溶媒自定义：对于药品的溶媒进行自定义，并能自定义提醒的文本内容。</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5.3抗菌药品药敏检查相关分析设置：对于抗菌药品药敏检查相关分析进行设置，并对抗菌药品药敏检查相关问题进行提示。</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5.4年龄段设置：对不同人群的年龄值进行修改的功能。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5.5三线用药功能权限设置：对于三线药品使用级别的设置。</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5.6围术期用药设置及审核：对于手术预防用抗菌药物的使用规则进行设置，并能对手术预防用抗菌药物使用合理性问题进行提示。并根据抗菌药物应用指导原则2015版的内容，提供用户自定义的审核规则。</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lastRenderedPageBreak/>
        <w:t>5.7自定义药品适应症：对于药品的适应症进行自定义，并可自定义适应症审查问题的提示信息，以及该自定义规则的适用科室等。</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5.8系统可以提供多种自定义方式：1）基于系统审查数据自定义方式，节省药师工作量；2）可完全由用户新建审查规则包括审查要素和审查逻辑。</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5.9可以统计药师审查屏蔽及审查规则自定义工作量。</w:t>
      </w:r>
    </w:p>
    <w:p w:rsidR="00F34C3B" w:rsidRPr="00E73B85" w:rsidRDefault="00F34C3B" w:rsidP="00E73B85">
      <w:pPr>
        <w:widowControl/>
        <w:spacing w:line="360" w:lineRule="auto"/>
        <w:rPr>
          <w:rFonts w:asciiTheme="minorEastAsia" w:hAnsiTheme="minorEastAsia" w:cs="宋体"/>
          <w:color w:val="000000"/>
          <w:kern w:val="0"/>
          <w:sz w:val="24"/>
          <w:szCs w:val="24"/>
        </w:rPr>
      </w:pPr>
    </w:p>
    <w:p w:rsidR="00F34C3B" w:rsidRPr="00E73B85" w:rsidRDefault="00F34C3B" w:rsidP="00E73B85">
      <w:pPr>
        <w:widowControl/>
        <w:spacing w:line="360" w:lineRule="auto"/>
        <w:rPr>
          <w:rFonts w:asciiTheme="minorEastAsia" w:hAnsiTheme="minorEastAsia" w:cs="宋体"/>
          <w:color w:val="000000"/>
          <w:kern w:val="0"/>
          <w:sz w:val="24"/>
          <w:szCs w:val="24"/>
        </w:rPr>
      </w:pPr>
    </w:p>
    <w:p w:rsidR="00F34C3B" w:rsidRPr="00E73B85" w:rsidRDefault="00F34C3B" w:rsidP="00E73B85">
      <w:pPr>
        <w:widowControl/>
        <w:spacing w:line="360" w:lineRule="auto"/>
        <w:rPr>
          <w:rFonts w:asciiTheme="minorEastAsia" w:hAnsiTheme="minorEastAsia" w:cs="宋体"/>
          <w:b/>
          <w:color w:val="000000"/>
          <w:kern w:val="0"/>
          <w:sz w:val="24"/>
          <w:szCs w:val="24"/>
        </w:rPr>
      </w:pPr>
    </w:p>
    <w:p w:rsidR="00F34C3B" w:rsidRPr="00E73B85" w:rsidRDefault="00F34C3B" w:rsidP="00E73B85">
      <w:pPr>
        <w:widowControl/>
        <w:spacing w:line="360" w:lineRule="auto"/>
        <w:rPr>
          <w:rFonts w:asciiTheme="minorEastAsia" w:hAnsiTheme="minorEastAsia" w:cs="宋体"/>
          <w:b/>
          <w:color w:val="000000"/>
          <w:kern w:val="0"/>
          <w:sz w:val="24"/>
          <w:szCs w:val="24"/>
        </w:rPr>
      </w:pPr>
      <w:r w:rsidRPr="00E73B85">
        <w:rPr>
          <w:rFonts w:asciiTheme="minorEastAsia" w:hAnsiTheme="minorEastAsia" w:cs="宋体" w:hint="eastAsia"/>
          <w:b/>
          <w:color w:val="000000"/>
          <w:kern w:val="0"/>
          <w:sz w:val="24"/>
          <w:szCs w:val="24"/>
        </w:rPr>
        <w:t>用药点评模块功能要求：</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系统需要能根据用户设定的条件，并根据卫生部印发《处方管理办法》及《医院处方点评管理规范（试行）》要求，对处方进行预处理，并生成《医院处方点评管理规范（试行）》要求的“处方点评工作表”。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1.1对抽取的处方/医嘱进行审核、点评</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点评组成员可以根据系统预处理结果，可全部或是有选择性的进行点评，并对系统处理的结果进行人工确认，同时可输入点评意见，形成最终结果。人工点评可以支持多人点评（初审、复审），并能跟踪所有点评的历史记录。</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1.2处方/医嘱抽查情况统计与汇总</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系统可以对抽查情况进行数据统计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1.3处方评价工作表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通过计算机处理结合人工点评，根据《医院处方点评管理规范（试行）》要求，计算机能够自动生成“处方点评工作表”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w:t>
      </w:r>
      <w:bookmarkStart w:id="16" w:name="_Toc428205391"/>
      <w:r w:rsidRPr="00E73B85">
        <w:rPr>
          <w:rFonts w:asciiTheme="minorEastAsia" w:hAnsiTheme="minorEastAsia" w:cs="宋体" w:hint="eastAsia"/>
          <w:color w:val="000000"/>
          <w:kern w:val="0"/>
          <w:sz w:val="24"/>
          <w:szCs w:val="24"/>
        </w:rPr>
        <w:t>4处方抽查、指派与点评</w:t>
      </w:r>
    </w:p>
    <w:bookmarkEnd w:id="16"/>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将抽查到的处方指派给指定用户进行点评。</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1.5处方专家二次点评</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提供专家点评流程，从而提升处方点评结果的权威性和专业性。</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1.6  </w:t>
      </w:r>
      <w:r w:rsidRPr="00E73B85">
        <w:rPr>
          <w:rFonts w:asciiTheme="minorEastAsia" w:hAnsiTheme="minorEastAsia" w:cs="宋体"/>
          <w:color w:val="000000"/>
          <w:kern w:val="0"/>
          <w:sz w:val="24"/>
          <w:szCs w:val="24"/>
        </w:rPr>
        <w:t>系统应包含以下点评模块：</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（1）门急诊处方点评功能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（2）住院病人医嘱点评功能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（3）门急诊抗菌药物处方点评功能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lastRenderedPageBreak/>
        <w:t>（4）住院病人抗菌药物专项点评功能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（5）围手术期抗菌药物专项点评功能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（6）门急诊处方专项药品点评功能，包括血液制品、糖皮质激素、</w:t>
      </w:r>
      <w:r w:rsidRPr="00E73B85">
        <w:rPr>
          <w:rFonts w:asciiTheme="minorEastAsia" w:hAnsiTheme="minorEastAsia" w:cs="宋体" w:hint="eastAsia"/>
          <w:color w:val="000000"/>
          <w:kern w:val="0"/>
          <w:sz w:val="24"/>
          <w:szCs w:val="24"/>
        </w:rPr>
        <w:t>高警示药品</w:t>
      </w:r>
      <w:r w:rsidRPr="00E73B85">
        <w:rPr>
          <w:rFonts w:asciiTheme="minorEastAsia" w:hAnsiTheme="minorEastAsia" w:cs="宋体"/>
          <w:color w:val="000000"/>
          <w:kern w:val="0"/>
          <w:sz w:val="24"/>
          <w:szCs w:val="24"/>
        </w:rPr>
        <w:t>、中药注射剂、质子泵抑制剂等药品</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（7）住院病人专项医嘱点评功能，包括血液制品、糖皮质激素、高</w:t>
      </w:r>
      <w:r w:rsidRPr="00E73B85">
        <w:rPr>
          <w:rFonts w:asciiTheme="minorEastAsia" w:hAnsiTheme="minorEastAsia" w:cs="宋体" w:hint="eastAsia"/>
          <w:color w:val="000000"/>
          <w:kern w:val="0"/>
          <w:sz w:val="24"/>
          <w:szCs w:val="24"/>
        </w:rPr>
        <w:t>警示药品</w:t>
      </w:r>
      <w:r w:rsidRPr="00E73B85">
        <w:rPr>
          <w:rFonts w:asciiTheme="minorEastAsia" w:hAnsiTheme="minorEastAsia" w:cs="宋体"/>
          <w:color w:val="000000"/>
          <w:kern w:val="0"/>
          <w:sz w:val="24"/>
          <w:szCs w:val="24"/>
        </w:rPr>
        <w:t>、中药注射剂、质子泵抑制剂等药品</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（8）门急诊处方抗肿瘤药物专项点评功能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（9）住院病人抗肿瘤药物专项点评功能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（10）住院病人特殊抗菌药物（万古霉素等）专项点评功能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（11）住院病人人血白蛋白专项点评功能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（12）门（急）诊中药饮片处方专项点评功能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（13）门（急）诊中成药处方专项点评功能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（14）用药排名医嘱点评功能，应能对使用前N位药品的科室、（开嘱）医生或特定药品使用前N位的科室所开具医嘱进行点评。</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（15）住院用药医嘱点评功能，可按</w:t>
      </w:r>
      <w:r w:rsidRPr="00E73B85">
        <w:rPr>
          <w:rFonts w:asciiTheme="minorEastAsia" w:hAnsiTheme="minorEastAsia" w:cs="宋体" w:hint="eastAsia"/>
          <w:color w:val="000000"/>
          <w:kern w:val="0"/>
          <w:sz w:val="24"/>
          <w:szCs w:val="24"/>
        </w:rPr>
        <w:t>用药时间、</w:t>
      </w:r>
      <w:r w:rsidRPr="00E73B85">
        <w:rPr>
          <w:rFonts w:asciiTheme="minorEastAsia" w:hAnsiTheme="minorEastAsia" w:cs="宋体"/>
          <w:color w:val="000000"/>
          <w:kern w:val="0"/>
          <w:sz w:val="24"/>
          <w:szCs w:val="24"/>
        </w:rPr>
        <w:t>开嘱医生抽选患者医嘱进行点评。</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（16）门（急）诊基本药物专项点评功能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1.7处方/医嘱抽查点评结果统计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对处方/医嘱的点评结果进行报表统计等相关功能。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1.8处方/医嘱抽查情况统计与汇总</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对抽查情况进行数据统计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1.9处方评价工作表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通过计算机处理结合人工点评，根据《医院处方点评管理规范（试行）》要求，生成“处方点评工作表”。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2.0处方点评结果查看</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医生可对问题处方的点评结果进行查询。</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2.1个性化规则库维护模块</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处方点评相关的用户自定义规则设置功能。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2.2自定义药品分组</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lastRenderedPageBreak/>
        <w:t>用户可自定义添加药物分组，添加后的药物分组可以在处方抽查点评的用来抽取指定分类的药品进行专项点评。</w:t>
      </w:r>
    </w:p>
    <w:p w:rsidR="00F34C3B" w:rsidRPr="00E73B85" w:rsidRDefault="00F34C3B" w:rsidP="00E73B85">
      <w:pPr>
        <w:widowControl/>
        <w:spacing w:line="360" w:lineRule="auto"/>
        <w:rPr>
          <w:rFonts w:asciiTheme="minorEastAsia" w:hAnsiTheme="minorEastAsia" w:cs="宋体"/>
          <w:color w:val="000000"/>
          <w:kern w:val="0"/>
          <w:sz w:val="24"/>
          <w:szCs w:val="24"/>
        </w:rPr>
      </w:pPr>
    </w:p>
    <w:p w:rsidR="00F34C3B" w:rsidRDefault="00F34C3B" w:rsidP="00E73B85">
      <w:pPr>
        <w:widowControl/>
        <w:spacing w:line="360" w:lineRule="auto"/>
        <w:rPr>
          <w:rFonts w:asciiTheme="minorEastAsia" w:hAnsiTheme="minorEastAsia" w:cs="宋体"/>
          <w:color w:val="000000"/>
          <w:kern w:val="0"/>
          <w:sz w:val="24"/>
          <w:szCs w:val="24"/>
        </w:rPr>
      </w:pPr>
    </w:p>
    <w:p w:rsidR="00E73B85" w:rsidRPr="00E73B85" w:rsidRDefault="00E73B85" w:rsidP="00E73B85">
      <w:pPr>
        <w:widowControl/>
        <w:spacing w:line="360" w:lineRule="auto"/>
        <w:rPr>
          <w:rFonts w:asciiTheme="minorEastAsia" w:hAnsiTheme="minorEastAsia" w:cs="宋体"/>
          <w:b/>
          <w:color w:val="000000"/>
          <w:kern w:val="0"/>
          <w:sz w:val="24"/>
          <w:szCs w:val="24"/>
        </w:rPr>
      </w:pPr>
    </w:p>
    <w:p w:rsidR="00F34C3B" w:rsidRPr="00E73B85" w:rsidRDefault="00F34C3B" w:rsidP="00E73B85">
      <w:pPr>
        <w:widowControl/>
        <w:spacing w:line="360" w:lineRule="auto"/>
        <w:rPr>
          <w:rFonts w:asciiTheme="minorEastAsia" w:hAnsiTheme="minorEastAsia" w:cs="宋体"/>
          <w:b/>
          <w:color w:val="000000"/>
          <w:kern w:val="0"/>
          <w:sz w:val="24"/>
          <w:szCs w:val="24"/>
        </w:rPr>
      </w:pPr>
      <w:bookmarkStart w:id="17" w:name="_GoBack"/>
      <w:bookmarkEnd w:id="17"/>
      <w:r w:rsidRPr="00E73B85">
        <w:rPr>
          <w:rFonts w:asciiTheme="minorEastAsia" w:hAnsiTheme="minorEastAsia" w:cs="宋体" w:hint="eastAsia"/>
          <w:b/>
          <w:color w:val="000000"/>
          <w:kern w:val="0"/>
          <w:sz w:val="24"/>
          <w:szCs w:val="24"/>
        </w:rPr>
        <w:t>统计报表模块功能要求：</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1.1</w:t>
      </w:r>
      <w:r w:rsidRPr="00E73B85">
        <w:rPr>
          <w:rFonts w:asciiTheme="minorEastAsia" w:hAnsiTheme="minorEastAsia" w:cs="宋体"/>
          <w:color w:val="000000"/>
          <w:kern w:val="0"/>
          <w:sz w:val="24"/>
          <w:szCs w:val="24"/>
        </w:rPr>
        <w:t>指标统计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系统应提供合理用药相关指标的统计，包括：药占比（不含中药饮片）、抗菌药物百分率、抗菌药物处方（病人）数、抗菌药物金额占药品总金额比例、静脉输液抗菌药物处方百分率、抗菌药物DDDs、抗菌药物使用强度、抗菌药物患者</w:t>
      </w:r>
      <w:r w:rsidRPr="00E73B85">
        <w:rPr>
          <w:rFonts w:asciiTheme="minorEastAsia" w:hAnsiTheme="minorEastAsia" w:cs="宋体" w:hint="eastAsia"/>
          <w:color w:val="000000"/>
          <w:kern w:val="0"/>
          <w:sz w:val="24"/>
          <w:szCs w:val="24"/>
        </w:rPr>
        <w:t>治疗前</w:t>
      </w:r>
      <w:r w:rsidRPr="00E73B85">
        <w:rPr>
          <w:rFonts w:asciiTheme="minorEastAsia" w:hAnsiTheme="minorEastAsia" w:cs="宋体"/>
          <w:color w:val="000000"/>
          <w:kern w:val="0"/>
          <w:sz w:val="24"/>
          <w:szCs w:val="24"/>
        </w:rPr>
        <w:t>病原送检率▲、围术期预防使用抗菌药物百分率、围术期使用抗菌药物术前给药时机合理率（0.5-1小时）、围术期使用抗菌药物术后疗程合理率、X类切口手术患者预防用抗菌药物时间＞24h且≤48h、＞48h且≤72h、＞72h百分率、住院患者抗菌药物静脉输液占比、住院患者静脉输液使用率等。</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系统应能将以上指标重新组合并生成新的报表，应能按全院、科室、医生分别进行统计，应能按处方或就诊病人分别进行统计。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1.2</w:t>
      </w:r>
      <w:r w:rsidRPr="00E73B85">
        <w:rPr>
          <w:rFonts w:asciiTheme="minorEastAsia" w:hAnsiTheme="minorEastAsia" w:cs="宋体"/>
          <w:color w:val="000000"/>
          <w:kern w:val="0"/>
          <w:sz w:val="24"/>
          <w:szCs w:val="24"/>
        </w:rPr>
        <w:t>趋势分析</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 xml:space="preserve">    系统应能</w:t>
      </w:r>
      <w:r w:rsidRPr="00E73B85">
        <w:rPr>
          <w:rFonts w:asciiTheme="minorEastAsia" w:hAnsiTheme="minorEastAsia" w:cs="宋体" w:hint="eastAsia"/>
          <w:color w:val="000000"/>
          <w:kern w:val="0"/>
          <w:sz w:val="24"/>
          <w:szCs w:val="24"/>
        </w:rPr>
        <w:t>实现</w:t>
      </w:r>
      <w:r w:rsidRPr="00E73B85">
        <w:rPr>
          <w:rFonts w:asciiTheme="minorEastAsia" w:hAnsiTheme="minorEastAsia" w:cs="宋体"/>
          <w:color w:val="000000"/>
          <w:kern w:val="0"/>
          <w:sz w:val="24"/>
          <w:szCs w:val="24"/>
        </w:rPr>
        <w:t>药占比（不含中药饮片）、抗菌药物使用强度</w:t>
      </w:r>
      <w:r w:rsidRPr="00E73B85">
        <w:rPr>
          <w:rFonts w:asciiTheme="minorEastAsia" w:hAnsiTheme="minorEastAsia" w:cs="宋体" w:hint="eastAsia"/>
          <w:color w:val="000000"/>
          <w:kern w:val="0"/>
          <w:sz w:val="24"/>
          <w:szCs w:val="24"/>
        </w:rPr>
        <w:t>、抗菌药物使用率同比、环比分析</w:t>
      </w:r>
      <w:r w:rsidRPr="00E73B85">
        <w:rPr>
          <w:rFonts w:asciiTheme="minorEastAsia" w:hAnsiTheme="minorEastAsia" w:cs="宋体"/>
          <w:color w:val="000000"/>
          <w:kern w:val="0"/>
          <w:sz w:val="24"/>
          <w:szCs w:val="24"/>
        </w:rPr>
        <w:t>，</w:t>
      </w:r>
      <w:r w:rsidRPr="00E73B85">
        <w:rPr>
          <w:rFonts w:asciiTheme="minorEastAsia" w:hAnsiTheme="minorEastAsia" w:cs="宋体" w:hint="eastAsia"/>
          <w:color w:val="000000"/>
          <w:kern w:val="0"/>
          <w:sz w:val="24"/>
          <w:szCs w:val="24"/>
        </w:rPr>
        <w:t>文字、图表等方式</w:t>
      </w:r>
      <w:r w:rsidRPr="00E73B85">
        <w:rPr>
          <w:rFonts w:asciiTheme="minorEastAsia" w:hAnsiTheme="minorEastAsia" w:cs="宋体"/>
          <w:color w:val="000000"/>
          <w:kern w:val="0"/>
          <w:sz w:val="24"/>
          <w:szCs w:val="24"/>
        </w:rPr>
        <w:t>展现医院用药情况。</w:t>
      </w:r>
      <w:r w:rsidRPr="00E73B85">
        <w:rPr>
          <w:rFonts w:asciiTheme="minorEastAsia" w:hAnsiTheme="minorEastAsia" w:cs="宋体" w:hint="eastAsia"/>
          <w:color w:val="000000"/>
          <w:kern w:val="0"/>
          <w:sz w:val="24"/>
          <w:szCs w:val="24"/>
        </w:rPr>
        <w:t xml:space="preserve">      1.3</w:t>
      </w:r>
      <w:r w:rsidRPr="00E73B85">
        <w:rPr>
          <w:rFonts w:asciiTheme="minorEastAsia" w:hAnsiTheme="minorEastAsia" w:cs="宋体"/>
          <w:color w:val="000000"/>
          <w:kern w:val="0"/>
          <w:sz w:val="24"/>
          <w:szCs w:val="24"/>
        </w:rPr>
        <w:t>药品统计分析</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应能分别按照全院、科室、医生实现以下指标统计：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1.3.1</w:t>
      </w:r>
      <w:r w:rsidRPr="00E73B85">
        <w:rPr>
          <w:rFonts w:asciiTheme="minorEastAsia" w:hAnsiTheme="minorEastAsia" w:cs="宋体"/>
          <w:color w:val="000000"/>
          <w:kern w:val="0"/>
          <w:sz w:val="24"/>
          <w:szCs w:val="24"/>
        </w:rPr>
        <w:t>药品使用强度统计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应能分别按出院时间等统计使用强度。</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1.3.2</w:t>
      </w:r>
      <w:r w:rsidRPr="00E73B85">
        <w:rPr>
          <w:rFonts w:asciiTheme="minorEastAsia" w:hAnsiTheme="minorEastAsia" w:cs="宋体"/>
          <w:color w:val="000000"/>
          <w:kern w:val="0"/>
          <w:sz w:val="24"/>
          <w:szCs w:val="24"/>
        </w:rPr>
        <w:t>药品使用强度趋势变化分析</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应能分别按月度</w:t>
      </w:r>
      <w:r w:rsidRPr="00E73B85">
        <w:rPr>
          <w:rFonts w:asciiTheme="minorEastAsia" w:hAnsiTheme="minorEastAsia" w:cs="宋体" w:hint="eastAsia"/>
          <w:color w:val="000000"/>
          <w:kern w:val="0"/>
          <w:sz w:val="24"/>
          <w:szCs w:val="24"/>
        </w:rPr>
        <w:t>（自然月或非自然月）</w:t>
      </w:r>
      <w:r w:rsidRPr="00E73B85">
        <w:rPr>
          <w:rFonts w:asciiTheme="minorEastAsia" w:hAnsiTheme="minorEastAsia" w:cs="宋体"/>
          <w:color w:val="000000"/>
          <w:kern w:val="0"/>
          <w:sz w:val="24"/>
          <w:szCs w:val="24"/>
        </w:rPr>
        <w:t>、季度、半年和年度统计药品使用强度及浮动率。</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1.3.3</w:t>
      </w:r>
      <w:r w:rsidRPr="00E73B85">
        <w:rPr>
          <w:rFonts w:asciiTheme="minorEastAsia" w:hAnsiTheme="minorEastAsia" w:cs="宋体"/>
          <w:color w:val="000000"/>
          <w:kern w:val="0"/>
          <w:sz w:val="24"/>
          <w:szCs w:val="24"/>
        </w:rPr>
        <w:t>药品金额、数量及DDDs使用量统计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1.3.4</w:t>
      </w:r>
      <w:r w:rsidRPr="00E73B85">
        <w:rPr>
          <w:rFonts w:asciiTheme="minorEastAsia" w:hAnsiTheme="minorEastAsia" w:cs="宋体"/>
          <w:color w:val="000000"/>
          <w:kern w:val="0"/>
          <w:sz w:val="24"/>
          <w:szCs w:val="24"/>
        </w:rPr>
        <w:t>药品金额、数量及DDDs趋势变化分析</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color w:val="000000"/>
          <w:kern w:val="0"/>
          <w:sz w:val="24"/>
          <w:szCs w:val="24"/>
        </w:rPr>
        <w:t>应能分别按月度、季度、半年和年度统计药品金额、数量、DDDs及浮动率。</w:t>
      </w:r>
    </w:p>
    <w:p w:rsidR="00F34C3B" w:rsidRPr="00E73B85" w:rsidRDefault="00F34C3B" w:rsidP="00E73B85">
      <w:pPr>
        <w:widowControl/>
        <w:spacing w:line="360" w:lineRule="auto"/>
        <w:rPr>
          <w:rFonts w:asciiTheme="minorEastAsia" w:hAnsiTheme="minorEastAsia" w:cs="宋体"/>
          <w:color w:val="8064A2" w:themeColor="accent4"/>
          <w:kern w:val="0"/>
          <w:sz w:val="24"/>
          <w:szCs w:val="24"/>
        </w:rPr>
      </w:pPr>
      <w:r w:rsidRPr="00E73B85">
        <w:rPr>
          <w:rFonts w:asciiTheme="minorEastAsia" w:hAnsiTheme="minorEastAsia" w:cs="宋体" w:hint="eastAsia"/>
          <w:color w:val="000000"/>
          <w:kern w:val="0"/>
          <w:sz w:val="24"/>
          <w:szCs w:val="24"/>
        </w:rPr>
        <w:lastRenderedPageBreak/>
        <w:t xml:space="preserve">  1.3.5</w:t>
      </w:r>
      <w:r w:rsidRPr="00E73B85">
        <w:rPr>
          <w:rFonts w:asciiTheme="minorEastAsia" w:hAnsiTheme="minorEastAsia" w:cs="宋体"/>
          <w:color w:val="000000"/>
          <w:kern w:val="0"/>
          <w:sz w:val="24"/>
          <w:szCs w:val="24"/>
        </w:rPr>
        <w:t>药品金额、数量统计并排名</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1.4</w:t>
      </w:r>
      <w:r w:rsidRPr="00E73B85">
        <w:rPr>
          <w:rFonts w:asciiTheme="minorEastAsia" w:hAnsiTheme="minorEastAsia" w:cs="宋体"/>
          <w:color w:val="000000"/>
          <w:kern w:val="0"/>
          <w:sz w:val="24"/>
          <w:szCs w:val="24"/>
        </w:rPr>
        <w:t>其他统计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1.4.1</w:t>
      </w:r>
      <w:r w:rsidRPr="00E73B85">
        <w:rPr>
          <w:rFonts w:asciiTheme="minorEastAsia" w:hAnsiTheme="minorEastAsia" w:cs="宋体"/>
          <w:color w:val="000000"/>
          <w:kern w:val="0"/>
          <w:sz w:val="24"/>
          <w:szCs w:val="24"/>
        </w:rPr>
        <w:t>医院药品品种数统计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1.4.2</w:t>
      </w:r>
      <w:r w:rsidRPr="00E73B85">
        <w:rPr>
          <w:rFonts w:asciiTheme="minorEastAsia" w:hAnsiTheme="minorEastAsia" w:cs="宋体"/>
          <w:color w:val="000000"/>
          <w:kern w:val="0"/>
          <w:sz w:val="24"/>
          <w:szCs w:val="24"/>
        </w:rPr>
        <w:t>患者静脉输液情况统计</w:t>
      </w:r>
    </w:p>
    <w:p w:rsidR="00F34C3B" w:rsidRPr="00E73B85" w:rsidRDefault="00F34C3B" w:rsidP="00E73B85">
      <w:pPr>
        <w:widowControl/>
        <w:spacing w:line="360" w:lineRule="auto"/>
        <w:rPr>
          <w:rFonts w:asciiTheme="minorEastAsia" w:hAnsiTheme="minorEastAsia" w:cs="宋体"/>
          <w:color w:val="8064A2" w:themeColor="accent4"/>
          <w:kern w:val="0"/>
          <w:sz w:val="24"/>
          <w:szCs w:val="24"/>
        </w:rPr>
      </w:pPr>
      <w:r w:rsidRPr="00E73B85">
        <w:rPr>
          <w:rFonts w:asciiTheme="minorEastAsia" w:hAnsiTheme="minorEastAsia" w:cs="宋体" w:hint="eastAsia"/>
          <w:color w:val="000000"/>
          <w:kern w:val="0"/>
          <w:sz w:val="24"/>
          <w:szCs w:val="24"/>
        </w:rPr>
        <w:t xml:space="preserve"> 1.4.3基本药物使用情况</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1.4.4</w:t>
      </w:r>
      <w:r w:rsidRPr="00E73B85">
        <w:rPr>
          <w:rFonts w:asciiTheme="minorEastAsia" w:hAnsiTheme="minorEastAsia" w:cs="宋体"/>
          <w:color w:val="000000"/>
          <w:kern w:val="0"/>
          <w:sz w:val="24"/>
          <w:szCs w:val="24"/>
        </w:rPr>
        <w:t>越权使用抗菌药物及其它需要分级管理药物使用情况</w:t>
      </w:r>
    </w:p>
    <w:p w:rsidR="00F34C3B" w:rsidRPr="00E73B85" w:rsidRDefault="00F34C3B" w:rsidP="00E73B85">
      <w:pPr>
        <w:widowControl/>
        <w:spacing w:line="360" w:lineRule="auto"/>
        <w:rPr>
          <w:rFonts w:asciiTheme="minorEastAsia" w:hAnsiTheme="minorEastAsia" w:cs="宋体"/>
          <w:color w:val="8064A2" w:themeColor="accent4"/>
          <w:kern w:val="0"/>
          <w:sz w:val="24"/>
          <w:szCs w:val="24"/>
        </w:rPr>
      </w:pPr>
      <w:r w:rsidRPr="00E73B85">
        <w:rPr>
          <w:rFonts w:asciiTheme="minorEastAsia" w:hAnsiTheme="minorEastAsia" w:cs="宋体" w:hint="eastAsia"/>
          <w:color w:val="000000"/>
          <w:kern w:val="0"/>
          <w:sz w:val="24"/>
          <w:szCs w:val="24"/>
        </w:rPr>
        <w:t xml:space="preserve">  1.4.5 </w:t>
      </w:r>
      <w:r w:rsidRPr="00E73B85">
        <w:rPr>
          <w:rFonts w:asciiTheme="minorEastAsia" w:hAnsiTheme="minorEastAsia" w:cs="宋体"/>
          <w:color w:val="000000"/>
          <w:kern w:val="0"/>
          <w:sz w:val="24"/>
          <w:szCs w:val="24"/>
        </w:rPr>
        <w:t>I类切口手术用药情况</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1.5</w:t>
      </w:r>
      <w:r w:rsidRPr="00E73B85">
        <w:rPr>
          <w:rFonts w:asciiTheme="minorEastAsia" w:hAnsiTheme="minorEastAsia" w:cs="宋体"/>
          <w:color w:val="000000"/>
          <w:kern w:val="0"/>
          <w:sz w:val="24"/>
          <w:szCs w:val="24"/>
        </w:rPr>
        <w:t>抗菌药物临床应用管理</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1.5.1医疗机构碳青霉烯类抗菌药物及替加环素使用情况统计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1.5.2</w:t>
      </w:r>
      <w:r w:rsidRPr="00E73B85">
        <w:rPr>
          <w:rFonts w:asciiTheme="minorEastAsia" w:hAnsiTheme="minorEastAsia" w:cs="宋体"/>
          <w:color w:val="000000"/>
          <w:kern w:val="0"/>
          <w:sz w:val="24"/>
          <w:szCs w:val="24"/>
        </w:rPr>
        <w:t>抗菌药物临床应用管理评价指标及要求</w:t>
      </w:r>
      <w:r w:rsidRPr="00E73B85">
        <w:rPr>
          <w:rFonts w:asciiTheme="minorEastAsia" w:hAnsiTheme="minorEastAsia" w:cs="宋体" w:hint="eastAsia"/>
          <w:color w:val="000000"/>
          <w:kern w:val="0"/>
          <w:sz w:val="24"/>
          <w:szCs w:val="24"/>
        </w:rPr>
        <w:t>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w:t>
      </w:r>
      <w:r w:rsidRPr="00E73B85">
        <w:rPr>
          <w:rFonts w:asciiTheme="minorEastAsia" w:hAnsiTheme="minorEastAsia" w:cs="宋体"/>
          <w:color w:val="000000"/>
          <w:kern w:val="0"/>
          <w:sz w:val="24"/>
          <w:szCs w:val="24"/>
        </w:rPr>
        <w:t>.</w:t>
      </w:r>
      <w:r w:rsidRPr="00E73B85">
        <w:rPr>
          <w:rFonts w:asciiTheme="minorEastAsia" w:hAnsiTheme="minorEastAsia" w:cs="宋体" w:hint="eastAsia"/>
          <w:color w:val="000000"/>
          <w:kern w:val="0"/>
          <w:sz w:val="24"/>
          <w:szCs w:val="24"/>
        </w:rPr>
        <w:t>6</w:t>
      </w:r>
      <w:r w:rsidRPr="00E73B85">
        <w:rPr>
          <w:rFonts w:asciiTheme="minorEastAsia" w:hAnsiTheme="minorEastAsia" w:cs="宋体"/>
          <w:color w:val="000000"/>
          <w:kern w:val="0"/>
          <w:sz w:val="24"/>
          <w:szCs w:val="24"/>
        </w:rPr>
        <w:t>国家卫生计生委抗菌药物临床应用管理数据上报</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1.6.1医疗机构一般情况调查</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1.6.2临床科室指标持续改进情况统计</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1.6.3全院使用量排名前十位抗菌药物</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1.6.4抗菌药物分级管理目录</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1.6.5临床微生物标本送检率</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1.6.6医疗机构抗菌药物品种、规格和使用量统计</w:t>
      </w:r>
    </w:p>
    <w:p w:rsidR="00F34C3B" w:rsidRPr="00E73B85" w:rsidRDefault="00F34C3B" w:rsidP="00E73B85">
      <w:pPr>
        <w:widowControl/>
        <w:spacing w:line="360" w:lineRule="auto"/>
        <w:rPr>
          <w:rFonts w:asciiTheme="minorEastAsia" w:hAnsiTheme="minorEastAsia" w:cs="宋体"/>
          <w:color w:val="000000" w:themeColor="text1"/>
          <w:kern w:val="0"/>
          <w:sz w:val="24"/>
          <w:szCs w:val="24"/>
        </w:rPr>
      </w:pPr>
      <w:r w:rsidRPr="00E73B85">
        <w:rPr>
          <w:rFonts w:asciiTheme="minorEastAsia" w:hAnsiTheme="minorEastAsia" w:cs="宋体" w:hint="eastAsia"/>
          <w:color w:val="000000" w:themeColor="text1"/>
          <w:kern w:val="0"/>
          <w:sz w:val="24"/>
          <w:szCs w:val="24"/>
        </w:rPr>
        <w:t xml:space="preserve">  1.6.7医疗机构抗菌药物临床应用指标数据上报</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1.6.8医疗机构I类切口手术用药情况调查</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1.7专项药物点评报表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1.7.1质子泵、抗肿瘤、毒麻、激素类等用药情况统计报表</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1.8系统管理</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1.8.1个性化规则库维护</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报表分析相关的用户自定义规则设置功能。</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1.8.2基础数据维护工具</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提供基础数据的维护工具</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1.8.3抗菌药物单位与DDD单位转换工具</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提供抗菌药物单位与DDD单位转换工具。</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1.8.4手术对应关系设置</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lastRenderedPageBreak/>
        <w:t xml:space="preserve">    医疗机构合理用药指标情况表统计中，手术相关的对应关系进行设置。</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1.8.5科室指标设置</w:t>
      </w:r>
    </w:p>
    <w:p w:rsidR="00F34C3B" w:rsidRPr="00E73B85" w:rsidRDefault="00F34C3B" w:rsidP="00E73B85">
      <w:pPr>
        <w:widowControl/>
        <w:spacing w:line="360" w:lineRule="auto"/>
        <w:ind w:firstLine="560"/>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当科室指标超标的时候，系统给予标识。</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1.8.6 DDD维护</w:t>
      </w:r>
    </w:p>
    <w:p w:rsidR="00F34C3B" w:rsidRPr="00E73B85" w:rsidRDefault="00F34C3B" w:rsidP="00E73B85">
      <w:pPr>
        <w:widowControl/>
        <w:spacing w:line="360" w:lineRule="auto"/>
        <w:rPr>
          <w:rFonts w:asciiTheme="minorEastAsia" w:hAnsiTheme="minorEastAsia" w:cs="宋体"/>
          <w:color w:val="000000"/>
          <w:kern w:val="0"/>
          <w:sz w:val="24"/>
          <w:szCs w:val="24"/>
        </w:rPr>
      </w:pPr>
      <w:r w:rsidRPr="00E73B85">
        <w:rPr>
          <w:rFonts w:asciiTheme="minorEastAsia" w:hAnsiTheme="minorEastAsia" w:cs="宋体" w:hint="eastAsia"/>
          <w:color w:val="000000"/>
          <w:kern w:val="0"/>
          <w:sz w:val="24"/>
          <w:szCs w:val="24"/>
        </w:rPr>
        <w:t xml:space="preserve">    通过该设置功能，可以允许用户对于某药品的DDD值进行自定义设置。</w:t>
      </w:r>
    </w:p>
    <w:p w:rsidR="00F2555F" w:rsidRPr="00E73B85" w:rsidRDefault="00F2555F" w:rsidP="0049299C">
      <w:pPr>
        <w:pStyle w:val="a6"/>
        <w:adjustRightInd w:val="0"/>
        <w:snapToGrid w:val="0"/>
        <w:spacing w:beforeLines="100" w:line="360" w:lineRule="auto"/>
        <w:rPr>
          <w:rFonts w:asciiTheme="minorEastAsia" w:hAnsiTheme="minorEastAsia"/>
          <w:b/>
          <w:sz w:val="24"/>
          <w:szCs w:val="24"/>
        </w:rPr>
      </w:pPr>
    </w:p>
    <w:sectPr w:rsidR="00F2555F" w:rsidRPr="00E73B85"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607" w:rsidRDefault="00D61607" w:rsidP="00026CC8">
      <w:r>
        <w:separator/>
      </w:r>
    </w:p>
  </w:endnote>
  <w:endnote w:type="continuationSeparator" w:id="1">
    <w:p w:rsidR="00D61607" w:rsidRDefault="00D61607"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607" w:rsidRDefault="00D61607" w:rsidP="00026CC8">
      <w:r>
        <w:separator/>
      </w:r>
    </w:p>
  </w:footnote>
  <w:footnote w:type="continuationSeparator" w:id="1">
    <w:p w:rsidR="00D61607" w:rsidRDefault="00D61607"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058EE"/>
    <w:rsid w:val="00026CC8"/>
    <w:rsid w:val="00027C96"/>
    <w:rsid w:val="00035814"/>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54CF1"/>
    <w:rsid w:val="00260773"/>
    <w:rsid w:val="00263B80"/>
    <w:rsid w:val="002A464B"/>
    <w:rsid w:val="002C2119"/>
    <w:rsid w:val="002C5A93"/>
    <w:rsid w:val="002D2F60"/>
    <w:rsid w:val="002E127E"/>
    <w:rsid w:val="0030631F"/>
    <w:rsid w:val="0032063C"/>
    <w:rsid w:val="00330072"/>
    <w:rsid w:val="00353743"/>
    <w:rsid w:val="00357676"/>
    <w:rsid w:val="003640D3"/>
    <w:rsid w:val="003707E2"/>
    <w:rsid w:val="00372642"/>
    <w:rsid w:val="00374EBB"/>
    <w:rsid w:val="00381648"/>
    <w:rsid w:val="0039605D"/>
    <w:rsid w:val="00396A97"/>
    <w:rsid w:val="00397476"/>
    <w:rsid w:val="003B2764"/>
    <w:rsid w:val="003B3718"/>
    <w:rsid w:val="003E5EB9"/>
    <w:rsid w:val="00416451"/>
    <w:rsid w:val="004179E4"/>
    <w:rsid w:val="004458A9"/>
    <w:rsid w:val="00474CD0"/>
    <w:rsid w:val="0049299C"/>
    <w:rsid w:val="00493861"/>
    <w:rsid w:val="00495093"/>
    <w:rsid w:val="004950D8"/>
    <w:rsid w:val="004D05D5"/>
    <w:rsid w:val="004D3069"/>
    <w:rsid w:val="005118F1"/>
    <w:rsid w:val="005309E4"/>
    <w:rsid w:val="00530FAC"/>
    <w:rsid w:val="0053502F"/>
    <w:rsid w:val="00536339"/>
    <w:rsid w:val="005623DD"/>
    <w:rsid w:val="005A2EFE"/>
    <w:rsid w:val="005F2B82"/>
    <w:rsid w:val="00605D7E"/>
    <w:rsid w:val="006068FE"/>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21BD6"/>
    <w:rsid w:val="00835D17"/>
    <w:rsid w:val="00862A3B"/>
    <w:rsid w:val="00866EFF"/>
    <w:rsid w:val="0087151B"/>
    <w:rsid w:val="008B561D"/>
    <w:rsid w:val="008B745C"/>
    <w:rsid w:val="008C0617"/>
    <w:rsid w:val="008C5563"/>
    <w:rsid w:val="008E2481"/>
    <w:rsid w:val="008F0C9C"/>
    <w:rsid w:val="008F256D"/>
    <w:rsid w:val="00912AFB"/>
    <w:rsid w:val="00924ECC"/>
    <w:rsid w:val="00970639"/>
    <w:rsid w:val="00986D86"/>
    <w:rsid w:val="009A3933"/>
    <w:rsid w:val="009A39B1"/>
    <w:rsid w:val="009A5219"/>
    <w:rsid w:val="009A69DA"/>
    <w:rsid w:val="009B101B"/>
    <w:rsid w:val="009C1746"/>
    <w:rsid w:val="009C2B17"/>
    <w:rsid w:val="009C5409"/>
    <w:rsid w:val="009C7EB3"/>
    <w:rsid w:val="009E05B7"/>
    <w:rsid w:val="00A10E6B"/>
    <w:rsid w:val="00A13387"/>
    <w:rsid w:val="00A15325"/>
    <w:rsid w:val="00A216A6"/>
    <w:rsid w:val="00A44F54"/>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76D91"/>
    <w:rsid w:val="00C91DDB"/>
    <w:rsid w:val="00CA4207"/>
    <w:rsid w:val="00CF1D8D"/>
    <w:rsid w:val="00D344A0"/>
    <w:rsid w:val="00D362D7"/>
    <w:rsid w:val="00D44619"/>
    <w:rsid w:val="00D50A10"/>
    <w:rsid w:val="00D50B7E"/>
    <w:rsid w:val="00D57907"/>
    <w:rsid w:val="00D61607"/>
    <w:rsid w:val="00D81A63"/>
    <w:rsid w:val="00DE2A5E"/>
    <w:rsid w:val="00E011C6"/>
    <w:rsid w:val="00E03ADE"/>
    <w:rsid w:val="00E13BD7"/>
    <w:rsid w:val="00E142E5"/>
    <w:rsid w:val="00E16C05"/>
    <w:rsid w:val="00E22C6F"/>
    <w:rsid w:val="00E37163"/>
    <w:rsid w:val="00E637E9"/>
    <w:rsid w:val="00E73B85"/>
    <w:rsid w:val="00EA09AB"/>
    <w:rsid w:val="00EA2AAA"/>
    <w:rsid w:val="00EB10E1"/>
    <w:rsid w:val="00EB4FDC"/>
    <w:rsid w:val="00EC6DCC"/>
    <w:rsid w:val="00EF27E7"/>
    <w:rsid w:val="00F174BC"/>
    <w:rsid w:val="00F17DB5"/>
    <w:rsid w:val="00F2555F"/>
    <w:rsid w:val="00F34C3B"/>
    <w:rsid w:val="00F81427"/>
    <w:rsid w:val="00FB03ED"/>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12</Pages>
  <Words>1109</Words>
  <Characters>6322</Characters>
  <Application>Microsoft Office Word</Application>
  <DocSecurity>0</DocSecurity>
  <Lines>52</Lines>
  <Paragraphs>14</Paragraphs>
  <ScaleCrop>false</ScaleCrop>
  <Company>china</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156</cp:revision>
  <dcterms:created xsi:type="dcterms:W3CDTF">2016-08-31T03:24:00Z</dcterms:created>
  <dcterms:modified xsi:type="dcterms:W3CDTF">2018-09-30T00:45:00Z</dcterms:modified>
</cp:coreProperties>
</file>