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A423A9" w:rsidP="00A423A9">
      <w:pPr>
        <w:tabs>
          <w:tab w:val="left" w:pos="2160"/>
        </w:tabs>
        <w:spacing w:line="800" w:lineRule="exact"/>
        <w:jc w:val="center"/>
        <w:rPr>
          <w:b/>
          <w:kern w:val="24"/>
          <w:sz w:val="48"/>
          <w:szCs w:val="48"/>
        </w:rPr>
      </w:pPr>
      <w:r>
        <w:rPr>
          <w:rFonts w:hint="eastAsia"/>
          <w:b/>
          <w:kern w:val="24"/>
          <w:sz w:val="48"/>
          <w:szCs w:val="48"/>
        </w:rPr>
        <w:t>光子治疗仪</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BF6636">
        <w:rPr>
          <w:rFonts w:ascii="黑体" w:eastAsia="黑体" w:hint="eastAsia"/>
          <w:sz w:val="30"/>
          <w:szCs w:val="30"/>
        </w:rPr>
        <w:t>10</w:t>
      </w:r>
      <w:r w:rsidRPr="00BA5CC0">
        <w:rPr>
          <w:rFonts w:ascii="黑体" w:eastAsia="黑体" w:hint="eastAsia"/>
          <w:sz w:val="30"/>
          <w:szCs w:val="30"/>
        </w:rPr>
        <w:t>月</w:t>
      </w:r>
      <w:r w:rsidR="00741B09">
        <w:rPr>
          <w:rFonts w:ascii="黑体" w:eastAsia="黑体" w:hint="eastAsia"/>
          <w:sz w:val="30"/>
          <w:szCs w:val="30"/>
        </w:rPr>
        <w:t>2</w:t>
      </w:r>
      <w:r w:rsidR="00B33D38">
        <w:rPr>
          <w:rFonts w:ascii="黑体" w:eastAsia="黑体" w:hint="eastAsia"/>
          <w:sz w:val="30"/>
          <w:szCs w:val="30"/>
        </w:rPr>
        <w:t>5</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31703B">
        <w:rPr>
          <w:rFonts w:ascii="Tahoma" w:hAnsi="Tahoma" w:hint="eastAsia"/>
          <w:sz w:val="24"/>
          <w:szCs w:val="24"/>
          <w:lang w:val="zh-CN"/>
        </w:rPr>
        <w:t>光子治疗仪</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100"/>
        <w:gridCol w:w="6919"/>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31703B">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00C83FCE">
              <w:rPr>
                <w:rFonts w:cs="宋体" w:hint="eastAsia"/>
                <w:b/>
                <w:color w:val="000000" w:themeColor="text1"/>
                <w:sz w:val="24"/>
                <w:szCs w:val="24"/>
              </w:rPr>
              <w:t>临淄区人民医院</w:t>
            </w:r>
            <w:r w:rsidR="0031703B">
              <w:rPr>
                <w:rFonts w:cs="宋体" w:hint="eastAsia"/>
                <w:b/>
                <w:color w:val="000000" w:themeColor="text1"/>
                <w:sz w:val="24"/>
                <w:szCs w:val="24"/>
              </w:rPr>
              <w:t>光子治疗仪</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A423A9">
            <w:pPr>
              <w:spacing w:after="120" w:line="420" w:lineRule="exact"/>
              <w:ind w:firstLineChars="196" w:firstLine="472"/>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A423A9">
            <w:pPr>
              <w:spacing w:after="120" w:line="420" w:lineRule="exact"/>
              <w:ind w:firstLineChars="196" w:firstLine="472"/>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31703B" w:rsidRDefault="0031703B" w:rsidP="005309E4">
      <w:pPr>
        <w:ind w:firstLineChars="196" w:firstLine="472"/>
        <w:rPr>
          <w:rFonts w:ascii="宋体" w:hAnsi="宋体"/>
          <w:b/>
          <w:sz w:val="24"/>
          <w:szCs w:val="24"/>
        </w:rPr>
      </w:pPr>
    </w:p>
    <w:p w:rsidR="0031703B" w:rsidRDefault="0031703B" w:rsidP="005309E4">
      <w:pPr>
        <w:ind w:firstLineChars="196" w:firstLine="472"/>
        <w:rPr>
          <w:rFonts w:ascii="宋体" w:hAnsi="宋体"/>
          <w:b/>
          <w:sz w:val="24"/>
          <w:szCs w:val="24"/>
        </w:rPr>
      </w:pPr>
    </w:p>
    <w:p w:rsidR="005309E4" w:rsidRPr="0031703B" w:rsidRDefault="005309E4" w:rsidP="005309E4">
      <w:pPr>
        <w:spacing w:line="220" w:lineRule="atLeast"/>
        <w:jc w:val="center"/>
        <w:rPr>
          <w:rFonts w:ascii="宋体" w:hAnsi="宋体"/>
          <w:b/>
          <w:sz w:val="28"/>
          <w:szCs w:val="28"/>
        </w:rPr>
      </w:pPr>
      <w:r w:rsidRPr="0031703B">
        <w:rPr>
          <w:rFonts w:ascii="宋体" w:hAnsi="宋体" w:hint="eastAsia"/>
          <w:b/>
          <w:sz w:val="28"/>
          <w:szCs w:val="28"/>
        </w:rPr>
        <w:lastRenderedPageBreak/>
        <w:t>临淄区人民医院</w:t>
      </w:r>
      <w:r w:rsidR="0031703B" w:rsidRPr="0031703B">
        <w:rPr>
          <w:rFonts w:ascii="宋体" w:hAnsi="宋体" w:hint="eastAsia"/>
          <w:b/>
          <w:sz w:val="28"/>
          <w:szCs w:val="28"/>
        </w:rPr>
        <w:t>光子治疗仪</w:t>
      </w:r>
      <w:r w:rsidRPr="0031703B">
        <w:rPr>
          <w:rFonts w:ascii="宋体" w:hAnsi="宋体" w:hint="eastAsia"/>
          <w:b/>
          <w:sz w:val="28"/>
          <w:szCs w:val="28"/>
        </w:rPr>
        <w:t>参数</w:t>
      </w:r>
    </w:p>
    <w:p w:rsidR="005309E4" w:rsidRDefault="005309E4" w:rsidP="0031703B">
      <w:pPr>
        <w:spacing w:line="220" w:lineRule="atLeast"/>
        <w:rPr>
          <w:rFonts w:ascii="宋体" w:hAnsi="宋体"/>
          <w:sz w:val="28"/>
          <w:szCs w:val="28"/>
        </w:rPr>
      </w:pPr>
    </w:p>
    <w:p w:rsidR="0031703B" w:rsidRDefault="0031703B" w:rsidP="0031703B">
      <w:pPr>
        <w:spacing w:line="360" w:lineRule="auto"/>
        <w:rPr>
          <w:rFonts w:asciiTheme="minorEastAsia" w:hAnsiTheme="minorEastAsia"/>
          <w:sz w:val="28"/>
          <w:szCs w:val="28"/>
        </w:rPr>
      </w:pPr>
      <w:r w:rsidRPr="005D0F89">
        <w:rPr>
          <w:rFonts w:asciiTheme="minorEastAsia" w:hAnsiTheme="minorEastAsia" w:hint="eastAsia"/>
          <w:sz w:val="28"/>
          <w:szCs w:val="28"/>
        </w:rPr>
        <w:t>数量：3台</w:t>
      </w:r>
    </w:p>
    <w:p w:rsidR="00E754B4" w:rsidRDefault="0031703B" w:rsidP="00E754B4">
      <w:pPr>
        <w:spacing w:line="360" w:lineRule="auto"/>
        <w:rPr>
          <w:rFonts w:asciiTheme="minorEastAsia" w:hAnsiTheme="minorEastAsia" w:hint="eastAsia"/>
          <w:sz w:val="28"/>
          <w:szCs w:val="28"/>
        </w:rPr>
      </w:pPr>
      <w:r>
        <w:rPr>
          <w:rFonts w:asciiTheme="minorEastAsia" w:hAnsiTheme="minorEastAsia" w:hint="eastAsia"/>
          <w:sz w:val="28"/>
          <w:szCs w:val="28"/>
        </w:rPr>
        <w:t>基本参数：</w:t>
      </w:r>
    </w:p>
    <w:p w:rsidR="00E754B4" w:rsidRDefault="00E754B4" w:rsidP="00E754B4">
      <w:pPr>
        <w:spacing w:line="360" w:lineRule="auto"/>
        <w:rPr>
          <w:rFonts w:asciiTheme="minorEastAsia" w:hAnsiTheme="minorEastAsia" w:hint="eastAsia"/>
          <w:sz w:val="28"/>
          <w:szCs w:val="28"/>
        </w:rPr>
      </w:pPr>
      <w:r>
        <w:rPr>
          <w:rFonts w:asciiTheme="minorEastAsia" w:hAnsiTheme="minorEastAsia" w:hint="eastAsia"/>
          <w:sz w:val="28"/>
          <w:szCs w:val="28"/>
        </w:rPr>
        <w:t>一、</w:t>
      </w:r>
      <w:r w:rsidR="0031703B" w:rsidRPr="00E754B4">
        <w:rPr>
          <w:rFonts w:asciiTheme="minorEastAsia" w:hAnsiTheme="minorEastAsia" w:cs="Times New Roman"/>
          <w:sz w:val="28"/>
          <w:szCs w:val="28"/>
        </w:rPr>
        <w:t>光源材料</w:t>
      </w:r>
      <w:r w:rsidR="0031703B" w:rsidRPr="00E754B4">
        <w:rPr>
          <w:rFonts w:asciiTheme="minorEastAsia" w:hAnsiTheme="minorEastAsia" w:hint="eastAsia"/>
          <w:sz w:val="28"/>
          <w:szCs w:val="28"/>
        </w:rPr>
        <w:t>：</w:t>
      </w:r>
      <w:r w:rsidR="0031703B" w:rsidRPr="00E754B4">
        <w:rPr>
          <w:rFonts w:asciiTheme="minorEastAsia" w:hAnsiTheme="minorEastAsia" w:cs="Times New Roman"/>
          <w:w w:val="99"/>
          <w:sz w:val="28"/>
          <w:szCs w:val="28"/>
        </w:rPr>
        <w:t>半导体固态光源</w:t>
      </w:r>
      <w:r w:rsidR="0031703B" w:rsidRPr="00E754B4">
        <w:rPr>
          <w:rFonts w:asciiTheme="minorEastAsia" w:hAnsiTheme="minorEastAsia" w:cs="Times New Roman" w:hint="eastAsia"/>
          <w:w w:val="99"/>
          <w:sz w:val="28"/>
          <w:szCs w:val="28"/>
        </w:rPr>
        <w:t>。</w:t>
      </w:r>
    </w:p>
    <w:p w:rsidR="00E754B4" w:rsidRDefault="00E754B4" w:rsidP="00E754B4">
      <w:pPr>
        <w:spacing w:line="360" w:lineRule="auto"/>
        <w:rPr>
          <w:rFonts w:asciiTheme="minorEastAsia" w:hAnsiTheme="minorEastAsia" w:hint="eastAsia"/>
          <w:sz w:val="28"/>
          <w:szCs w:val="28"/>
        </w:rPr>
      </w:pPr>
      <w:r>
        <w:rPr>
          <w:rFonts w:asciiTheme="minorEastAsia" w:hAnsiTheme="minorEastAsia" w:cs="Times New Roman" w:hint="eastAsia"/>
          <w:w w:val="98"/>
          <w:sz w:val="28"/>
          <w:szCs w:val="28"/>
        </w:rPr>
        <w:t>二、</w:t>
      </w:r>
      <w:r w:rsidR="0031703B" w:rsidRPr="00E754B4">
        <w:rPr>
          <w:rFonts w:asciiTheme="minorEastAsia" w:hAnsiTheme="minorEastAsia" w:cs="Times New Roman"/>
          <w:w w:val="98"/>
          <w:sz w:val="28"/>
          <w:szCs w:val="28"/>
        </w:rPr>
        <w:t>峰值波长</w:t>
      </w:r>
      <w:r w:rsidR="0031703B" w:rsidRPr="00E754B4">
        <w:rPr>
          <w:rFonts w:asciiTheme="minorEastAsia" w:hAnsiTheme="minorEastAsia" w:hint="eastAsia"/>
          <w:w w:val="98"/>
          <w:sz w:val="28"/>
          <w:szCs w:val="28"/>
        </w:rPr>
        <w:t>：</w:t>
      </w:r>
      <w:r w:rsidR="0031703B" w:rsidRPr="00E754B4">
        <w:rPr>
          <w:rFonts w:asciiTheme="minorEastAsia" w:hAnsiTheme="minorEastAsia" w:cs="Times New Roman"/>
          <w:sz w:val="28"/>
          <w:szCs w:val="28"/>
        </w:rPr>
        <w:t>红光：640±</w:t>
      </w:r>
      <w:r w:rsidR="0031703B" w:rsidRPr="00E754B4">
        <w:rPr>
          <w:rFonts w:asciiTheme="minorEastAsia" w:hAnsiTheme="minorEastAsia" w:cs="Times New Roman" w:hint="eastAsia"/>
          <w:sz w:val="28"/>
          <w:szCs w:val="28"/>
        </w:rPr>
        <w:t>2</w:t>
      </w:r>
      <w:r w:rsidR="0031703B" w:rsidRPr="00E754B4">
        <w:rPr>
          <w:rFonts w:asciiTheme="minorEastAsia" w:hAnsiTheme="minorEastAsia" w:cs="Times New Roman"/>
          <w:sz w:val="28"/>
          <w:szCs w:val="28"/>
        </w:rPr>
        <w:t>0nm蓝光：460±</w:t>
      </w:r>
      <w:r w:rsidR="0031703B" w:rsidRPr="00E754B4">
        <w:rPr>
          <w:rFonts w:asciiTheme="minorEastAsia" w:hAnsiTheme="minorEastAsia" w:cs="Times New Roman" w:hint="eastAsia"/>
          <w:sz w:val="28"/>
          <w:szCs w:val="28"/>
        </w:rPr>
        <w:t>5</w:t>
      </w:r>
      <w:r w:rsidR="0031703B" w:rsidRPr="00E754B4">
        <w:rPr>
          <w:rFonts w:asciiTheme="minorEastAsia" w:hAnsiTheme="minorEastAsia" w:cs="Times New Roman"/>
          <w:sz w:val="28"/>
          <w:szCs w:val="28"/>
        </w:rPr>
        <w:t>0nm</w:t>
      </w:r>
      <w:r w:rsidR="0031703B" w:rsidRPr="00E754B4">
        <w:rPr>
          <w:rFonts w:asciiTheme="minorEastAsia" w:hAnsiTheme="minorEastAsia" w:cs="Times New Roman" w:hint="eastAsia"/>
          <w:sz w:val="28"/>
          <w:szCs w:val="28"/>
        </w:rPr>
        <w:t>。</w:t>
      </w:r>
    </w:p>
    <w:p w:rsidR="00E754B4" w:rsidRDefault="00E754B4" w:rsidP="00E754B4">
      <w:pPr>
        <w:spacing w:line="360" w:lineRule="auto"/>
        <w:rPr>
          <w:rFonts w:asciiTheme="minorEastAsia" w:hAnsiTheme="minorEastAsia" w:hint="eastAsia"/>
          <w:sz w:val="28"/>
          <w:szCs w:val="28"/>
        </w:rPr>
      </w:pPr>
      <w:r>
        <w:rPr>
          <w:rFonts w:asciiTheme="minorEastAsia" w:hAnsiTheme="minorEastAsia" w:cs="Times New Roman" w:hint="eastAsia"/>
          <w:sz w:val="28"/>
          <w:szCs w:val="28"/>
        </w:rPr>
        <w:t>三、</w:t>
      </w:r>
      <w:r w:rsidR="0031703B" w:rsidRPr="00E754B4">
        <w:rPr>
          <w:rFonts w:asciiTheme="minorEastAsia" w:hAnsiTheme="minorEastAsia" w:cs="Times New Roman"/>
          <w:sz w:val="28"/>
          <w:szCs w:val="28"/>
        </w:rPr>
        <w:t>光功率密度</w:t>
      </w:r>
      <w:r w:rsidR="0031703B" w:rsidRPr="00E754B4">
        <w:rPr>
          <w:rFonts w:asciiTheme="minorEastAsia" w:hAnsiTheme="minorEastAsia" w:hint="eastAsia"/>
          <w:sz w:val="28"/>
          <w:szCs w:val="28"/>
        </w:rPr>
        <w:t>：</w:t>
      </w:r>
      <w:r w:rsidR="0031703B" w:rsidRPr="00E754B4">
        <w:rPr>
          <w:rFonts w:asciiTheme="minorEastAsia" w:hAnsiTheme="minorEastAsia" w:cs="Times New Roman"/>
          <w:w w:val="96"/>
          <w:sz w:val="28"/>
          <w:szCs w:val="28"/>
        </w:rPr>
        <w:t>红光：≥1</w:t>
      </w:r>
      <w:r w:rsidR="0031703B" w:rsidRPr="00E754B4">
        <w:rPr>
          <w:rFonts w:asciiTheme="minorEastAsia" w:hAnsiTheme="minorEastAsia" w:cs="Times New Roman" w:hint="eastAsia"/>
          <w:w w:val="96"/>
          <w:sz w:val="28"/>
          <w:szCs w:val="28"/>
        </w:rPr>
        <w:t>5</w:t>
      </w:r>
      <w:r w:rsidR="0031703B" w:rsidRPr="00E754B4">
        <w:rPr>
          <w:rFonts w:asciiTheme="minorEastAsia" w:hAnsiTheme="minorEastAsia" w:cs="Times New Roman"/>
          <w:w w:val="96"/>
          <w:sz w:val="28"/>
          <w:szCs w:val="28"/>
        </w:rPr>
        <w:t>0mW/c ㎡</w:t>
      </w:r>
      <w:r w:rsidR="0031703B" w:rsidRPr="00E754B4">
        <w:rPr>
          <w:rFonts w:asciiTheme="minorEastAsia" w:hAnsiTheme="minorEastAsia" w:cs="Times New Roman"/>
          <w:sz w:val="28"/>
          <w:szCs w:val="28"/>
        </w:rPr>
        <w:t>蓝光：≥</w:t>
      </w:r>
      <w:r w:rsidR="0031703B" w:rsidRPr="00E754B4">
        <w:rPr>
          <w:rFonts w:asciiTheme="minorEastAsia" w:hAnsiTheme="minorEastAsia" w:cs="Times New Roman" w:hint="eastAsia"/>
          <w:sz w:val="28"/>
          <w:szCs w:val="28"/>
        </w:rPr>
        <w:t>50</w:t>
      </w:r>
      <w:r w:rsidR="0031703B" w:rsidRPr="00E754B4">
        <w:rPr>
          <w:rFonts w:asciiTheme="minorEastAsia" w:hAnsiTheme="minorEastAsia" w:cs="Times New Roman"/>
          <w:sz w:val="28"/>
          <w:szCs w:val="28"/>
        </w:rPr>
        <w:t>0mW/c ㎡</w:t>
      </w:r>
      <w:r w:rsidR="0031703B" w:rsidRPr="00E754B4">
        <w:rPr>
          <w:rFonts w:asciiTheme="minorEastAsia" w:hAnsiTheme="minorEastAsia" w:cs="Times New Roman" w:hint="eastAsia"/>
          <w:sz w:val="28"/>
          <w:szCs w:val="28"/>
        </w:rPr>
        <w:t>。</w:t>
      </w:r>
    </w:p>
    <w:p w:rsidR="00E754B4" w:rsidRDefault="00E754B4" w:rsidP="00E754B4">
      <w:pPr>
        <w:spacing w:line="360" w:lineRule="auto"/>
        <w:rPr>
          <w:rFonts w:asciiTheme="minorEastAsia" w:hAnsiTheme="minorEastAsia" w:hint="eastAsia"/>
          <w:sz w:val="28"/>
          <w:szCs w:val="28"/>
        </w:rPr>
      </w:pPr>
      <w:r>
        <w:rPr>
          <w:rFonts w:asciiTheme="minorEastAsia" w:hAnsiTheme="minorEastAsia" w:hint="eastAsia"/>
          <w:sz w:val="28"/>
          <w:szCs w:val="28"/>
        </w:rPr>
        <w:t>四、</w:t>
      </w:r>
      <w:r w:rsidR="0031703B" w:rsidRPr="005D0F89">
        <w:rPr>
          <w:rFonts w:asciiTheme="minorEastAsia" w:hAnsiTheme="minorEastAsia" w:cs="Times New Roman"/>
          <w:w w:val="99"/>
          <w:sz w:val="28"/>
          <w:szCs w:val="28"/>
        </w:rPr>
        <w:t>有效照射面积</w:t>
      </w:r>
      <w:r w:rsidR="0031703B" w:rsidRPr="005D0F89">
        <w:rPr>
          <w:rFonts w:asciiTheme="minorEastAsia" w:hAnsiTheme="minorEastAsia" w:cs="Times New Roman" w:hint="eastAsia"/>
          <w:w w:val="99"/>
          <w:sz w:val="28"/>
          <w:szCs w:val="28"/>
        </w:rPr>
        <w:t>：</w:t>
      </w:r>
      <w:r w:rsidR="0031703B" w:rsidRPr="005D0F89">
        <w:rPr>
          <w:rFonts w:asciiTheme="minorEastAsia" w:hAnsiTheme="minorEastAsia" w:cs="Times New Roman"/>
          <w:w w:val="94"/>
          <w:sz w:val="28"/>
          <w:szCs w:val="28"/>
        </w:rPr>
        <w:t>≥</w:t>
      </w:r>
      <w:r w:rsidR="0031703B" w:rsidRPr="005D0F89">
        <w:rPr>
          <w:rFonts w:asciiTheme="minorEastAsia" w:hAnsiTheme="minorEastAsia" w:cs="Times New Roman" w:hint="eastAsia"/>
          <w:w w:val="94"/>
          <w:sz w:val="28"/>
          <w:szCs w:val="28"/>
        </w:rPr>
        <w:t>5</w:t>
      </w:r>
      <w:r w:rsidR="0031703B" w:rsidRPr="005D0F89">
        <w:rPr>
          <w:rFonts w:asciiTheme="minorEastAsia" w:hAnsiTheme="minorEastAsia" w:cs="Times New Roman"/>
          <w:w w:val="94"/>
          <w:sz w:val="28"/>
          <w:szCs w:val="28"/>
        </w:rPr>
        <w:t>00c ㎡</w:t>
      </w:r>
      <w:r w:rsidR="0031703B">
        <w:rPr>
          <w:rFonts w:asciiTheme="minorEastAsia" w:hAnsiTheme="minorEastAsia" w:cs="Times New Roman" w:hint="eastAsia"/>
          <w:w w:val="94"/>
          <w:sz w:val="28"/>
          <w:szCs w:val="28"/>
        </w:rPr>
        <w:t>。</w:t>
      </w:r>
    </w:p>
    <w:p w:rsidR="00E754B4" w:rsidRDefault="0031703B" w:rsidP="00E754B4">
      <w:pPr>
        <w:widowControl/>
        <w:adjustRightInd w:val="0"/>
        <w:snapToGrid w:val="0"/>
        <w:spacing w:after="200" w:line="360" w:lineRule="auto"/>
        <w:jc w:val="left"/>
        <w:rPr>
          <w:rFonts w:asciiTheme="minorEastAsia" w:hAnsiTheme="minorEastAsia" w:hint="eastAsia"/>
          <w:sz w:val="28"/>
          <w:szCs w:val="28"/>
        </w:rPr>
      </w:pPr>
      <w:r>
        <w:rPr>
          <w:rFonts w:asciiTheme="minorEastAsia" w:hAnsiTheme="minorEastAsia" w:cs="Times New Roman" w:hint="eastAsia"/>
          <w:w w:val="99"/>
          <w:sz w:val="28"/>
          <w:szCs w:val="28"/>
        </w:rPr>
        <w:t>五、</w:t>
      </w:r>
      <w:r w:rsidRPr="005D0F89">
        <w:rPr>
          <w:rFonts w:asciiTheme="minorEastAsia" w:hAnsiTheme="minorEastAsia" w:cs="Times New Roman"/>
          <w:w w:val="99"/>
          <w:sz w:val="28"/>
          <w:szCs w:val="28"/>
        </w:rPr>
        <w:t>定时时间</w:t>
      </w:r>
      <w:r w:rsidRPr="005D0F89">
        <w:rPr>
          <w:rFonts w:asciiTheme="minorEastAsia" w:hAnsiTheme="minorEastAsia" w:hint="eastAsia"/>
          <w:w w:val="99"/>
          <w:sz w:val="28"/>
          <w:szCs w:val="28"/>
        </w:rPr>
        <w:t>：</w:t>
      </w:r>
      <w:r w:rsidRPr="005D0F89">
        <w:rPr>
          <w:rFonts w:asciiTheme="minorEastAsia" w:hAnsiTheme="minorEastAsia" w:cs="Times New Roman"/>
          <w:w w:val="95"/>
          <w:sz w:val="28"/>
          <w:szCs w:val="28"/>
        </w:rPr>
        <w:t xml:space="preserve">可从 </w:t>
      </w:r>
      <w:r w:rsidRPr="005D0F89">
        <w:rPr>
          <w:rFonts w:asciiTheme="minorEastAsia" w:hAnsiTheme="minorEastAsia" w:cs="Times New Roman" w:hint="eastAsia"/>
          <w:w w:val="95"/>
          <w:sz w:val="28"/>
          <w:szCs w:val="28"/>
        </w:rPr>
        <w:t>1</w:t>
      </w:r>
      <w:r w:rsidRPr="005D0F89">
        <w:rPr>
          <w:rFonts w:asciiTheme="minorEastAsia" w:hAnsiTheme="minorEastAsia" w:cs="Times New Roman"/>
          <w:w w:val="95"/>
          <w:sz w:val="28"/>
          <w:szCs w:val="28"/>
        </w:rPr>
        <w:t>min～</w:t>
      </w:r>
      <w:r w:rsidRPr="005D0F89">
        <w:rPr>
          <w:rFonts w:asciiTheme="minorEastAsia" w:hAnsiTheme="minorEastAsia" w:cs="Times New Roman" w:hint="eastAsia"/>
          <w:w w:val="95"/>
          <w:sz w:val="28"/>
          <w:szCs w:val="28"/>
        </w:rPr>
        <w:t>59</w:t>
      </w:r>
      <w:r w:rsidRPr="005D0F89">
        <w:rPr>
          <w:rFonts w:asciiTheme="minorEastAsia" w:hAnsiTheme="minorEastAsia" w:cs="Times New Roman"/>
          <w:w w:val="95"/>
          <w:sz w:val="28"/>
          <w:szCs w:val="28"/>
        </w:rPr>
        <w:t>min 连续可调</w:t>
      </w:r>
      <w:r>
        <w:rPr>
          <w:rFonts w:asciiTheme="minorEastAsia" w:hAnsiTheme="minorEastAsia" w:cs="Times New Roman" w:hint="eastAsia"/>
          <w:w w:val="95"/>
          <w:sz w:val="28"/>
          <w:szCs w:val="28"/>
        </w:rPr>
        <w:t>。</w:t>
      </w:r>
    </w:p>
    <w:p w:rsidR="0031703B" w:rsidRPr="00E754B4" w:rsidRDefault="0031703B" w:rsidP="00E754B4">
      <w:pPr>
        <w:widowControl/>
        <w:adjustRightInd w:val="0"/>
        <w:snapToGrid w:val="0"/>
        <w:spacing w:after="200" w:line="360" w:lineRule="auto"/>
        <w:jc w:val="left"/>
        <w:rPr>
          <w:rFonts w:asciiTheme="minorEastAsia" w:hAnsiTheme="minorEastAsia"/>
          <w:sz w:val="28"/>
          <w:szCs w:val="28"/>
        </w:rPr>
      </w:pPr>
      <w:r>
        <w:rPr>
          <w:rFonts w:asciiTheme="minorEastAsia" w:hAnsiTheme="minorEastAsia" w:cs="Times New Roman" w:hint="eastAsia"/>
          <w:w w:val="99"/>
          <w:sz w:val="28"/>
          <w:szCs w:val="28"/>
        </w:rPr>
        <w:t>六、</w:t>
      </w:r>
      <w:r w:rsidRPr="005D0F89">
        <w:rPr>
          <w:rFonts w:asciiTheme="minorEastAsia" w:hAnsiTheme="minorEastAsia" w:cs="Times New Roman"/>
          <w:w w:val="99"/>
          <w:sz w:val="28"/>
          <w:szCs w:val="28"/>
        </w:rPr>
        <w:t>操作面板</w:t>
      </w:r>
      <w:r w:rsidRPr="005D0F89">
        <w:rPr>
          <w:rFonts w:asciiTheme="minorEastAsia" w:hAnsiTheme="minorEastAsia" w:hint="eastAsia"/>
          <w:w w:val="99"/>
          <w:sz w:val="28"/>
          <w:szCs w:val="28"/>
        </w:rPr>
        <w:t>：</w:t>
      </w:r>
      <w:r w:rsidRPr="005D0F89">
        <w:rPr>
          <w:rFonts w:asciiTheme="minorEastAsia" w:hAnsiTheme="minorEastAsia" w:cs="Times New Roman"/>
          <w:w w:val="99"/>
          <w:sz w:val="28"/>
          <w:szCs w:val="28"/>
        </w:rPr>
        <w:t>触摸屏</w:t>
      </w:r>
      <w:r>
        <w:rPr>
          <w:rFonts w:asciiTheme="minorEastAsia" w:hAnsiTheme="minorEastAsia" w:cs="Times New Roman" w:hint="eastAsia"/>
          <w:w w:val="99"/>
          <w:sz w:val="28"/>
          <w:szCs w:val="28"/>
        </w:rPr>
        <w:t>。</w:t>
      </w:r>
    </w:p>
    <w:p w:rsidR="0031703B" w:rsidRPr="00514991" w:rsidRDefault="0031703B" w:rsidP="0031703B">
      <w:pPr>
        <w:spacing w:line="220" w:lineRule="atLeast"/>
        <w:jc w:val="center"/>
        <w:rPr>
          <w:rFonts w:ascii="黑体" w:eastAsia="黑体" w:hAnsi="黑体"/>
          <w:sz w:val="32"/>
          <w:szCs w:val="32"/>
        </w:rPr>
      </w:pPr>
    </w:p>
    <w:p w:rsidR="0031703B" w:rsidRPr="0031703B" w:rsidRDefault="0031703B" w:rsidP="0031703B">
      <w:pPr>
        <w:spacing w:line="220" w:lineRule="atLeast"/>
        <w:rPr>
          <w:rFonts w:ascii="宋体" w:hAnsi="宋体"/>
          <w:sz w:val="28"/>
          <w:szCs w:val="28"/>
        </w:rPr>
      </w:pPr>
    </w:p>
    <w:sectPr w:rsidR="0031703B" w:rsidRPr="0031703B"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C0" w:rsidRDefault="00D61EC0" w:rsidP="00026CC8">
      <w:r>
        <w:separator/>
      </w:r>
    </w:p>
  </w:endnote>
  <w:endnote w:type="continuationSeparator" w:id="1">
    <w:p w:rsidR="00D61EC0" w:rsidRDefault="00D61EC0"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C0" w:rsidRDefault="00D61EC0" w:rsidP="00026CC8">
      <w:r>
        <w:separator/>
      </w:r>
    </w:p>
  </w:footnote>
  <w:footnote w:type="continuationSeparator" w:id="1">
    <w:p w:rsidR="00D61EC0" w:rsidRDefault="00D61EC0"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B052C29"/>
    <w:multiLevelType w:val="hybridMultilevel"/>
    <w:tmpl w:val="89E8ED0A"/>
    <w:lvl w:ilvl="0" w:tplc="256608D6">
      <w:start w:val="1"/>
      <w:numFmt w:val="japaneseCounting"/>
      <w:lvlText w:val="%1、"/>
      <w:lvlJc w:val="left"/>
      <w:pPr>
        <w:ind w:left="1350" w:hanging="720"/>
      </w:pPr>
      <w:rPr>
        <w:rFonts w:asciiTheme="minorEastAsia" w:eastAsiaTheme="minorEastAsia" w:hAnsiTheme="minorEastAsia" w:cs="Times New Roman"/>
        <w:w w:val="100"/>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57BBB5DE"/>
    <w:multiLevelType w:val="singleLevel"/>
    <w:tmpl w:val="57BBB5DE"/>
    <w:lvl w:ilvl="0">
      <w:start w:val="5"/>
      <w:numFmt w:val="chineseCounting"/>
      <w:suff w:val="nothing"/>
      <w:lvlText w:val="%1、"/>
      <w:lvlJc w:val="left"/>
    </w:lvl>
  </w:abstractNum>
  <w:abstractNum w:abstractNumId="9">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26B783F"/>
    <w:multiLevelType w:val="hybridMultilevel"/>
    <w:tmpl w:val="AE34A784"/>
    <w:lvl w:ilvl="0" w:tplc="F1BC5A76">
      <w:start w:val="1"/>
      <w:numFmt w:val="japaneseCounting"/>
      <w:lvlText w:val="%1、"/>
      <w:lvlJc w:val="left"/>
      <w:pPr>
        <w:ind w:left="1350" w:hanging="720"/>
      </w:pPr>
      <w:rPr>
        <w:rFonts w:asciiTheme="minorEastAsia" w:eastAsiaTheme="minorEastAsia" w:hAnsiTheme="minorEastAsia" w:cs="Times New Roman"/>
        <w:w w:val="100"/>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6"/>
  </w:num>
  <w:num w:numId="3">
    <w:abstractNumId w:val="9"/>
  </w:num>
  <w:num w:numId="4">
    <w:abstractNumId w:val="12"/>
  </w:num>
  <w:num w:numId="5">
    <w:abstractNumId w:val="4"/>
  </w:num>
  <w:num w:numId="6">
    <w:abstractNumId w:val="2"/>
  </w:num>
  <w:num w:numId="7">
    <w:abstractNumId w:val="1"/>
  </w:num>
  <w:num w:numId="8">
    <w:abstractNumId w:val="3"/>
  </w:num>
  <w:num w:numId="9">
    <w:abstractNumId w:val="8"/>
  </w:num>
  <w:num w:numId="10">
    <w:abstractNumId w:val="11"/>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158B"/>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1703B"/>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82C55"/>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41256"/>
    <w:rsid w:val="00944CC1"/>
    <w:rsid w:val="00970639"/>
    <w:rsid w:val="009A3933"/>
    <w:rsid w:val="009A39B1"/>
    <w:rsid w:val="009A5219"/>
    <w:rsid w:val="009C1746"/>
    <w:rsid w:val="009C2B17"/>
    <w:rsid w:val="009C7EB3"/>
    <w:rsid w:val="009E05B7"/>
    <w:rsid w:val="00A10E6B"/>
    <w:rsid w:val="00A216A6"/>
    <w:rsid w:val="00A423A9"/>
    <w:rsid w:val="00A879F8"/>
    <w:rsid w:val="00AB087B"/>
    <w:rsid w:val="00AE0A87"/>
    <w:rsid w:val="00AE22F8"/>
    <w:rsid w:val="00B02471"/>
    <w:rsid w:val="00B07AE1"/>
    <w:rsid w:val="00B33D38"/>
    <w:rsid w:val="00B34ECF"/>
    <w:rsid w:val="00B61ED5"/>
    <w:rsid w:val="00B64C29"/>
    <w:rsid w:val="00B66C41"/>
    <w:rsid w:val="00B87683"/>
    <w:rsid w:val="00BA1C2A"/>
    <w:rsid w:val="00BB08C5"/>
    <w:rsid w:val="00BD099E"/>
    <w:rsid w:val="00BF6636"/>
    <w:rsid w:val="00C1165F"/>
    <w:rsid w:val="00C23FA4"/>
    <w:rsid w:val="00C25E4F"/>
    <w:rsid w:val="00C4336F"/>
    <w:rsid w:val="00C60720"/>
    <w:rsid w:val="00C63666"/>
    <w:rsid w:val="00C83FCE"/>
    <w:rsid w:val="00C91DDB"/>
    <w:rsid w:val="00CF1D8D"/>
    <w:rsid w:val="00D362D7"/>
    <w:rsid w:val="00D50A10"/>
    <w:rsid w:val="00D50B7E"/>
    <w:rsid w:val="00D57907"/>
    <w:rsid w:val="00D61EC0"/>
    <w:rsid w:val="00DE2A5E"/>
    <w:rsid w:val="00E011C6"/>
    <w:rsid w:val="00E03ADE"/>
    <w:rsid w:val="00E07D1C"/>
    <w:rsid w:val="00E142E5"/>
    <w:rsid w:val="00E16C05"/>
    <w:rsid w:val="00E22C6F"/>
    <w:rsid w:val="00E37163"/>
    <w:rsid w:val="00E637E9"/>
    <w:rsid w:val="00E754B4"/>
    <w:rsid w:val="00EA2AAA"/>
    <w:rsid w:val="00EB10E1"/>
    <w:rsid w:val="00EB4FDC"/>
    <w:rsid w:val="00EC6DCC"/>
    <w:rsid w:val="00EF27E7"/>
    <w:rsid w:val="00F17DB5"/>
    <w:rsid w:val="00F2555F"/>
    <w:rsid w:val="00F27513"/>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124</Words>
  <Characters>708</Characters>
  <Application>Microsoft Office Word</Application>
  <DocSecurity>0</DocSecurity>
  <Lines>5</Lines>
  <Paragraphs>1</Paragraphs>
  <ScaleCrop>false</ScaleCrop>
  <Company>china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144</cp:revision>
  <dcterms:created xsi:type="dcterms:W3CDTF">2016-08-31T03:24:00Z</dcterms:created>
  <dcterms:modified xsi:type="dcterms:W3CDTF">2017-10-24T23:51:00Z</dcterms:modified>
</cp:coreProperties>
</file>